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648" w:rsidRDefault="00704C0A">
      <w:pPr>
        <w:spacing w:after="120"/>
        <w:ind w:left="5840"/>
      </w:pPr>
      <w:r>
        <w:t>Приложение № 1</w:t>
      </w:r>
      <w:r>
        <w:br/>
        <w:t>к стандартам раскрытия информации субъектами оптового и розничных рынков электрической энергии</w:t>
      </w:r>
    </w:p>
    <w:p w:rsidR="001A1648" w:rsidRDefault="00704C0A">
      <w:pPr>
        <w:spacing w:after="240"/>
        <w:ind w:left="5840"/>
        <w:rPr>
          <w:sz w:val="18"/>
          <w:szCs w:val="18"/>
        </w:rPr>
      </w:pPr>
      <w:r>
        <w:rPr>
          <w:sz w:val="18"/>
          <w:szCs w:val="18"/>
        </w:rPr>
        <w:t>(в ред. Постановления Правительства РФ</w:t>
      </w:r>
      <w:r>
        <w:rPr>
          <w:sz w:val="18"/>
          <w:szCs w:val="18"/>
        </w:rPr>
        <w:br/>
        <w:t>от 09.08.2014 № 787)</w:t>
      </w:r>
    </w:p>
    <w:p w:rsidR="001A1648" w:rsidRDefault="00704C0A">
      <w:pPr>
        <w:spacing w:after="240"/>
        <w:jc w:val="right"/>
        <w:rPr>
          <w:sz w:val="24"/>
          <w:szCs w:val="24"/>
        </w:rPr>
      </w:pPr>
      <w:r>
        <w:rPr>
          <w:sz w:val="24"/>
          <w:szCs w:val="24"/>
        </w:rPr>
        <w:t>(форма)</w:t>
      </w:r>
    </w:p>
    <w:p w:rsidR="001A1648" w:rsidRDefault="00704C0A">
      <w:pPr>
        <w:spacing w:after="120"/>
        <w:jc w:val="center"/>
        <w:rPr>
          <w:b/>
          <w:bCs/>
          <w:spacing w:val="50"/>
          <w:sz w:val="26"/>
          <w:szCs w:val="26"/>
        </w:rPr>
      </w:pPr>
      <w:r>
        <w:rPr>
          <w:b/>
          <w:bCs/>
          <w:spacing w:val="50"/>
          <w:sz w:val="26"/>
          <w:szCs w:val="26"/>
        </w:rPr>
        <w:t>ПРЕДЛОЖЕНИЕ</w:t>
      </w:r>
    </w:p>
    <w:p w:rsidR="001A1648" w:rsidRDefault="00704C0A">
      <w:pPr>
        <w:jc w:val="center"/>
        <w:rPr>
          <w:b/>
          <w:bCs/>
          <w:sz w:val="26"/>
          <w:szCs w:val="26"/>
        </w:rPr>
      </w:pPr>
      <w:r>
        <w:rPr>
          <w:b/>
          <w:bCs/>
          <w:sz w:val="26"/>
          <w:szCs w:val="26"/>
        </w:rPr>
        <w:t>о размере цен (тарифов), долгосрочных параметров регулирования</w:t>
      </w:r>
    </w:p>
    <w:tbl>
      <w:tblPr>
        <w:tblW w:w="0" w:type="auto"/>
        <w:jc w:val="center"/>
        <w:tblInd w:w="-1089" w:type="dxa"/>
        <w:tblLayout w:type="fixed"/>
        <w:tblCellMar>
          <w:left w:w="28" w:type="dxa"/>
          <w:right w:w="28" w:type="dxa"/>
        </w:tblCellMar>
        <w:tblLook w:val="0000"/>
      </w:tblPr>
      <w:tblGrid>
        <w:gridCol w:w="5316"/>
        <w:gridCol w:w="3175"/>
        <w:gridCol w:w="541"/>
      </w:tblGrid>
      <w:tr w:rsidR="001A1648" w:rsidTr="00067EC7">
        <w:trPr>
          <w:jc w:val="center"/>
        </w:trPr>
        <w:tc>
          <w:tcPr>
            <w:tcW w:w="5316" w:type="dxa"/>
            <w:tcBorders>
              <w:top w:val="nil"/>
              <w:left w:val="nil"/>
              <w:bottom w:val="nil"/>
              <w:right w:val="nil"/>
            </w:tcBorders>
            <w:vAlign w:val="bottom"/>
          </w:tcPr>
          <w:p w:rsidR="001A1648" w:rsidRDefault="00067EC7" w:rsidP="00067EC7">
            <w:pPr>
              <w:rPr>
                <w:sz w:val="26"/>
                <w:szCs w:val="26"/>
              </w:rPr>
            </w:pPr>
            <w:r>
              <w:rPr>
                <w:sz w:val="26"/>
                <w:szCs w:val="26"/>
              </w:rPr>
              <w:t xml:space="preserve">на транспортировку электрической энергии </w:t>
            </w:r>
            <w:proofErr w:type="gramStart"/>
            <w:r>
              <w:rPr>
                <w:sz w:val="26"/>
                <w:szCs w:val="26"/>
              </w:rPr>
              <w:t>на</w:t>
            </w:r>
            <w:proofErr w:type="gramEnd"/>
          </w:p>
        </w:tc>
        <w:tc>
          <w:tcPr>
            <w:tcW w:w="3175" w:type="dxa"/>
            <w:tcBorders>
              <w:top w:val="nil"/>
              <w:left w:val="nil"/>
              <w:bottom w:val="single" w:sz="4" w:space="0" w:color="auto"/>
              <w:right w:val="nil"/>
            </w:tcBorders>
            <w:vAlign w:val="bottom"/>
          </w:tcPr>
          <w:p w:rsidR="001A1648" w:rsidRDefault="00067EC7">
            <w:pPr>
              <w:jc w:val="center"/>
              <w:rPr>
                <w:sz w:val="26"/>
                <w:szCs w:val="26"/>
              </w:rPr>
            </w:pPr>
            <w:r>
              <w:rPr>
                <w:sz w:val="26"/>
                <w:szCs w:val="26"/>
              </w:rPr>
              <w:t>2017-2019</w:t>
            </w:r>
          </w:p>
        </w:tc>
        <w:tc>
          <w:tcPr>
            <w:tcW w:w="541" w:type="dxa"/>
            <w:tcBorders>
              <w:top w:val="nil"/>
              <w:left w:val="nil"/>
              <w:bottom w:val="nil"/>
              <w:right w:val="nil"/>
            </w:tcBorders>
            <w:vAlign w:val="bottom"/>
          </w:tcPr>
          <w:p w:rsidR="001A1648" w:rsidRDefault="00704C0A">
            <w:pPr>
              <w:ind w:left="57"/>
              <w:rPr>
                <w:sz w:val="26"/>
                <w:szCs w:val="26"/>
              </w:rPr>
            </w:pPr>
            <w:r>
              <w:rPr>
                <w:sz w:val="26"/>
                <w:szCs w:val="26"/>
              </w:rPr>
              <w:t>год</w:t>
            </w:r>
          </w:p>
        </w:tc>
      </w:tr>
      <w:tr w:rsidR="001A1648" w:rsidTr="00067EC7">
        <w:trPr>
          <w:jc w:val="center"/>
        </w:trPr>
        <w:tc>
          <w:tcPr>
            <w:tcW w:w="5316" w:type="dxa"/>
            <w:tcBorders>
              <w:top w:val="nil"/>
              <w:left w:val="nil"/>
              <w:bottom w:val="nil"/>
              <w:right w:val="nil"/>
            </w:tcBorders>
          </w:tcPr>
          <w:p w:rsidR="001A1648" w:rsidRDefault="001A1648">
            <w:pPr>
              <w:jc w:val="center"/>
            </w:pPr>
          </w:p>
        </w:tc>
        <w:tc>
          <w:tcPr>
            <w:tcW w:w="3175" w:type="dxa"/>
            <w:tcBorders>
              <w:top w:val="nil"/>
              <w:left w:val="nil"/>
              <w:bottom w:val="nil"/>
              <w:right w:val="nil"/>
            </w:tcBorders>
          </w:tcPr>
          <w:p w:rsidR="001A1648" w:rsidRDefault="00704C0A">
            <w:pPr>
              <w:jc w:val="center"/>
            </w:pPr>
            <w:r>
              <w:t>(расчетный период регулирования)</w:t>
            </w:r>
          </w:p>
        </w:tc>
        <w:tc>
          <w:tcPr>
            <w:tcW w:w="541" w:type="dxa"/>
            <w:tcBorders>
              <w:top w:val="nil"/>
              <w:left w:val="nil"/>
              <w:bottom w:val="nil"/>
              <w:right w:val="nil"/>
            </w:tcBorders>
          </w:tcPr>
          <w:p w:rsidR="001A1648" w:rsidRDefault="001A1648">
            <w:pPr>
              <w:jc w:val="center"/>
            </w:pPr>
          </w:p>
        </w:tc>
      </w:tr>
    </w:tbl>
    <w:p w:rsidR="001A1648" w:rsidRDefault="00067EC7" w:rsidP="00067EC7">
      <w:pPr>
        <w:spacing w:before="120"/>
        <w:jc w:val="center"/>
        <w:rPr>
          <w:sz w:val="24"/>
          <w:szCs w:val="24"/>
        </w:rPr>
      </w:pPr>
      <w:r>
        <w:rPr>
          <w:sz w:val="24"/>
          <w:szCs w:val="24"/>
        </w:rPr>
        <w:t>Муниципальное унитарное предприятие Муниципального образования город Норильск</w:t>
      </w:r>
    </w:p>
    <w:p w:rsidR="001A1648" w:rsidRDefault="00704C0A" w:rsidP="00067EC7">
      <w:pPr>
        <w:pBdr>
          <w:top w:val="single" w:sz="4" w:space="1" w:color="auto"/>
        </w:pBdr>
        <w:jc w:val="center"/>
      </w:pPr>
      <w:r>
        <w:t>(полное и сокращенное наименование юридического лица)</w:t>
      </w:r>
    </w:p>
    <w:p w:rsidR="001A1648" w:rsidRDefault="00067EC7" w:rsidP="00067EC7">
      <w:pPr>
        <w:spacing w:before="120"/>
        <w:jc w:val="center"/>
        <w:rPr>
          <w:sz w:val="24"/>
          <w:szCs w:val="24"/>
        </w:rPr>
      </w:pPr>
      <w:r>
        <w:rPr>
          <w:sz w:val="24"/>
          <w:szCs w:val="24"/>
        </w:rPr>
        <w:t>«Коммунальные объединенные системы» (МУП «КОС»)</w:t>
      </w:r>
    </w:p>
    <w:p w:rsidR="001A1648" w:rsidRDefault="001A1648">
      <w:pPr>
        <w:pBdr>
          <w:top w:val="single" w:sz="4" w:space="1" w:color="auto"/>
        </w:pBdr>
        <w:rPr>
          <w:sz w:val="2"/>
          <w:szCs w:val="2"/>
        </w:rPr>
      </w:pPr>
    </w:p>
    <w:p w:rsidR="005507BD" w:rsidRDefault="005507BD">
      <w:pPr>
        <w:autoSpaceDE/>
        <w:autoSpaceDN/>
        <w:spacing w:after="200" w:line="276" w:lineRule="auto"/>
        <w:rPr>
          <w:sz w:val="24"/>
          <w:szCs w:val="24"/>
        </w:rPr>
      </w:pPr>
      <w:r>
        <w:rPr>
          <w:sz w:val="24"/>
          <w:szCs w:val="24"/>
        </w:rPr>
        <w:br w:type="page"/>
      </w:r>
    </w:p>
    <w:p w:rsidR="005507BD" w:rsidRDefault="005507BD">
      <w:pPr>
        <w:rPr>
          <w:sz w:val="24"/>
          <w:szCs w:val="24"/>
        </w:rPr>
        <w:sectPr w:rsidR="005507BD" w:rsidSect="00067EC7">
          <w:headerReference w:type="default" r:id="rId7"/>
          <w:pgSz w:w="11907" w:h="16840" w:code="9"/>
          <w:pgMar w:top="851" w:right="1134" w:bottom="567" w:left="1418" w:header="397" w:footer="397" w:gutter="0"/>
          <w:cols w:space="709"/>
        </w:sectPr>
      </w:pPr>
    </w:p>
    <w:p w:rsidR="005507BD" w:rsidRDefault="005507BD" w:rsidP="005507BD">
      <w:pPr>
        <w:spacing w:after="960"/>
        <w:ind w:left="11397"/>
      </w:pPr>
      <w:r>
        <w:lastRenderedPageBreak/>
        <w:t>Приложение № 1</w:t>
      </w:r>
      <w:r>
        <w:br/>
        <w:t>к предложению о размере цен (тарифов), долгосрочных параметров регулирования</w:t>
      </w:r>
    </w:p>
    <w:p w:rsidR="005507BD" w:rsidRDefault="005507BD" w:rsidP="005507BD">
      <w:pPr>
        <w:spacing w:after="720"/>
        <w:jc w:val="center"/>
        <w:rPr>
          <w:sz w:val="26"/>
          <w:szCs w:val="26"/>
        </w:rPr>
      </w:pPr>
      <w:r>
        <w:rPr>
          <w:sz w:val="26"/>
          <w:szCs w:val="26"/>
        </w:rPr>
        <w:t>Раздел 1. Информация об организации</w:t>
      </w:r>
    </w:p>
    <w:p w:rsidR="005507BD" w:rsidRPr="00FE1552" w:rsidRDefault="005507BD" w:rsidP="005507BD">
      <w:pPr>
        <w:rPr>
          <w:sz w:val="24"/>
          <w:szCs w:val="24"/>
        </w:rPr>
      </w:pPr>
      <w:r w:rsidRPr="00FE1552">
        <w:rPr>
          <w:sz w:val="24"/>
          <w:szCs w:val="24"/>
        </w:rPr>
        <w:t xml:space="preserve">Полное наименование Муниципальное унитарное предприятие Муниципального образования </w:t>
      </w:r>
      <w:proofErr w:type="gramStart"/>
      <w:r w:rsidRPr="00FE1552">
        <w:rPr>
          <w:sz w:val="24"/>
          <w:szCs w:val="24"/>
        </w:rPr>
        <w:t>г</w:t>
      </w:r>
      <w:proofErr w:type="gramEnd"/>
      <w:r w:rsidRPr="00FE1552">
        <w:rPr>
          <w:sz w:val="24"/>
          <w:szCs w:val="24"/>
        </w:rPr>
        <w:t>. Норильск «Коммунальные объединенные системы»</w:t>
      </w:r>
    </w:p>
    <w:p w:rsidR="005507BD" w:rsidRPr="00FE1552" w:rsidRDefault="005507BD" w:rsidP="005507BD">
      <w:pPr>
        <w:rPr>
          <w:sz w:val="24"/>
          <w:szCs w:val="24"/>
        </w:rPr>
      </w:pPr>
    </w:p>
    <w:p w:rsidR="005507BD" w:rsidRPr="00FE1552" w:rsidRDefault="005507BD" w:rsidP="005507BD">
      <w:pPr>
        <w:rPr>
          <w:sz w:val="24"/>
          <w:szCs w:val="24"/>
        </w:rPr>
      </w:pPr>
      <w:r w:rsidRPr="00FE1552">
        <w:rPr>
          <w:sz w:val="24"/>
          <w:szCs w:val="24"/>
        </w:rPr>
        <w:t>Сокращенное наименование МУП «КОС»</w:t>
      </w:r>
    </w:p>
    <w:p w:rsidR="005507BD" w:rsidRPr="00FE1552" w:rsidRDefault="005507BD" w:rsidP="005507BD">
      <w:pPr>
        <w:rPr>
          <w:sz w:val="24"/>
          <w:szCs w:val="24"/>
        </w:rPr>
      </w:pPr>
    </w:p>
    <w:p w:rsidR="005507BD" w:rsidRPr="00FE1552" w:rsidRDefault="005507BD" w:rsidP="005507BD">
      <w:pPr>
        <w:rPr>
          <w:sz w:val="24"/>
          <w:szCs w:val="24"/>
        </w:rPr>
      </w:pPr>
      <w:r w:rsidRPr="00FE1552">
        <w:rPr>
          <w:sz w:val="24"/>
          <w:szCs w:val="24"/>
        </w:rPr>
        <w:t>Место нахождения 663318, Красноярский край,</w:t>
      </w:r>
      <w:r w:rsidRPr="00FE1552">
        <w:rPr>
          <w:i/>
          <w:sz w:val="24"/>
          <w:szCs w:val="24"/>
        </w:rPr>
        <w:t xml:space="preserve"> </w:t>
      </w:r>
      <w:proofErr w:type="gramStart"/>
      <w:r w:rsidRPr="00FE1552">
        <w:rPr>
          <w:sz w:val="24"/>
          <w:szCs w:val="24"/>
        </w:rPr>
        <w:t>г</w:t>
      </w:r>
      <w:proofErr w:type="gramEnd"/>
      <w:r w:rsidRPr="00FE1552">
        <w:rPr>
          <w:sz w:val="24"/>
          <w:szCs w:val="24"/>
        </w:rPr>
        <w:t>. Норильск, ул. Нансена, д.18а</w:t>
      </w:r>
    </w:p>
    <w:p w:rsidR="005507BD" w:rsidRPr="00FE1552" w:rsidRDefault="005507BD" w:rsidP="005507BD">
      <w:pPr>
        <w:rPr>
          <w:sz w:val="24"/>
          <w:szCs w:val="24"/>
        </w:rPr>
      </w:pPr>
    </w:p>
    <w:p w:rsidR="005507BD" w:rsidRPr="00FE1552" w:rsidRDefault="005507BD" w:rsidP="005507BD">
      <w:pPr>
        <w:rPr>
          <w:sz w:val="24"/>
          <w:szCs w:val="24"/>
        </w:rPr>
      </w:pPr>
      <w:r w:rsidRPr="00FE1552">
        <w:rPr>
          <w:sz w:val="24"/>
          <w:szCs w:val="24"/>
        </w:rPr>
        <w:t>Фактический адрес 663318, Красноярский край,</w:t>
      </w:r>
      <w:r w:rsidRPr="00FE1552">
        <w:rPr>
          <w:i/>
          <w:sz w:val="24"/>
          <w:szCs w:val="24"/>
        </w:rPr>
        <w:t xml:space="preserve"> </w:t>
      </w:r>
      <w:proofErr w:type="gramStart"/>
      <w:r w:rsidRPr="00FE1552">
        <w:rPr>
          <w:sz w:val="24"/>
          <w:szCs w:val="24"/>
        </w:rPr>
        <w:t>г</w:t>
      </w:r>
      <w:proofErr w:type="gramEnd"/>
      <w:r w:rsidRPr="00FE1552">
        <w:rPr>
          <w:sz w:val="24"/>
          <w:szCs w:val="24"/>
        </w:rPr>
        <w:t>. Норильск, ул. Нансена, д.18а</w:t>
      </w:r>
    </w:p>
    <w:p w:rsidR="005507BD" w:rsidRPr="00FE1552" w:rsidRDefault="005507BD" w:rsidP="005507BD">
      <w:pPr>
        <w:rPr>
          <w:sz w:val="24"/>
          <w:szCs w:val="24"/>
        </w:rPr>
      </w:pPr>
    </w:p>
    <w:p w:rsidR="005507BD" w:rsidRPr="00FE1552" w:rsidRDefault="005507BD" w:rsidP="005507BD">
      <w:pPr>
        <w:rPr>
          <w:sz w:val="24"/>
          <w:szCs w:val="24"/>
        </w:rPr>
      </w:pPr>
      <w:r w:rsidRPr="00FE1552">
        <w:rPr>
          <w:sz w:val="24"/>
          <w:szCs w:val="24"/>
        </w:rPr>
        <w:t>ИНН 2457029066</w:t>
      </w:r>
    </w:p>
    <w:p w:rsidR="005507BD" w:rsidRPr="00FE1552" w:rsidRDefault="005507BD" w:rsidP="005507BD">
      <w:pPr>
        <w:rPr>
          <w:sz w:val="24"/>
          <w:szCs w:val="24"/>
        </w:rPr>
      </w:pPr>
    </w:p>
    <w:p w:rsidR="005507BD" w:rsidRPr="00FE1552" w:rsidRDefault="005507BD" w:rsidP="005507BD">
      <w:pPr>
        <w:rPr>
          <w:sz w:val="24"/>
          <w:szCs w:val="24"/>
        </w:rPr>
      </w:pPr>
      <w:r w:rsidRPr="00FE1552">
        <w:rPr>
          <w:sz w:val="24"/>
          <w:szCs w:val="24"/>
        </w:rPr>
        <w:t>КПП 245701001</w:t>
      </w:r>
    </w:p>
    <w:p w:rsidR="005507BD" w:rsidRPr="00FE1552" w:rsidRDefault="005507BD" w:rsidP="005507BD">
      <w:pPr>
        <w:rPr>
          <w:sz w:val="24"/>
          <w:szCs w:val="24"/>
        </w:rPr>
      </w:pPr>
    </w:p>
    <w:p w:rsidR="005507BD" w:rsidRPr="00FE1552" w:rsidRDefault="005507BD" w:rsidP="005507BD">
      <w:pPr>
        <w:rPr>
          <w:sz w:val="24"/>
          <w:szCs w:val="24"/>
        </w:rPr>
      </w:pPr>
      <w:r w:rsidRPr="00FE1552">
        <w:rPr>
          <w:sz w:val="24"/>
          <w:szCs w:val="24"/>
        </w:rPr>
        <w:t>Ф.И.О. руководителя Борисевич Евгений Николаевич</w:t>
      </w:r>
    </w:p>
    <w:p w:rsidR="005507BD" w:rsidRPr="00FE1552" w:rsidRDefault="005507BD" w:rsidP="005507BD">
      <w:pPr>
        <w:rPr>
          <w:sz w:val="24"/>
          <w:szCs w:val="24"/>
        </w:rPr>
      </w:pPr>
    </w:p>
    <w:p w:rsidR="005507BD" w:rsidRPr="00FE1552" w:rsidRDefault="005507BD" w:rsidP="005507BD">
      <w:pPr>
        <w:rPr>
          <w:sz w:val="24"/>
          <w:szCs w:val="24"/>
        </w:rPr>
      </w:pPr>
      <w:r w:rsidRPr="00FE1552">
        <w:rPr>
          <w:sz w:val="24"/>
          <w:szCs w:val="24"/>
        </w:rPr>
        <w:t>Адрес электронной почты mail@mupkosnorilsk.ru</w:t>
      </w:r>
    </w:p>
    <w:p w:rsidR="005507BD" w:rsidRPr="00FE1552" w:rsidRDefault="005507BD" w:rsidP="005507BD">
      <w:pPr>
        <w:rPr>
          <w:sz w:val="24"/>
          <w:szCs w:val="24"/>
        </w:rPr>
      </w:pPr>
    </w:p>
    <w:p w:rsidR="005507BD" w:rsidRPr="00FE1552" w:rsidRDefault="005507BD" w:rsidP="005507BD">
      <w:pPr>
        <w:rPr>
          <w:sz w:val="24"/>
          <w:szCs w:val="24"/>
        </w:rPr>
      </w:pPr>
      <w:r w:rsidRPr="00FE1552">
        <w:rPr>
          <w:sz w:val="24"/>
          <w:szCs w:val="24"/>
        </w:rPr>
        <w:t>Контактный телефон (3919) 224842</w:t>
      </w:r>
    </w:p>
    <w:p w:rsidR="005507BD" w:rsidRPr="00FE1552" w:rsidRDefault="005507BD" w:rsidP="005507BD">
      <w:pPr>
        <w:rPr>
          <w:sz w:val="24"/>
          <w:szCs w:val="24"/>
        </w:rPr>
      </w:pPr>
    </w:p>
    <w:p w:rsidR="005507BD" w:rsidRPr="00FE1552" w:rsidRDefault="005507BD" w:rsidP="005507BD">
      <w:pPr>
        <w:rPr>
          <w:sz w:val="24"/>
          <w:szCs w:val="24"/>
        </w:rPr>
      </w:pPr>
      <w:r w:rsidRPr="00FE1552">
        <w:rPr>
          <w:sz w:val="24"/>
          <w:szCs w:val="24"/>
        </w:rPr>
        <w:t>Факс  (3919) 224843</w:t>
      </w:r>
    </w:p>
    <w:p w:rsidR="005507BD" w:rsidRDefault="005507BD">
      <w:pPr>
        <w:autoSpaceDE/>
        <w:autoSpaceDN/>
        <w:spacing w:after="200" w:line="276" w:lineRule="auto"/>
        <w:rPr>
          <w:sz w:val="24"/>
          <w:szCs w:val="24"/>
        </w:rPr>
      </w:pPr>
      <w:r>
        <w:rPr>
          <w:sz w:val="24"/>
          <w:szCs w:val="24"/>
        </w:rPr>
        <w:br w:type="page"/>
      </w:r>
    </w:p>
    <w:tbl>
      <w:tblPr>
        <w:tblW w:w="13656" w:type="dxa"/>
        <w:tblInd w:w="93" w:type="dxa"/>
        <w:tblLook w:val="04A0"/>
      </w:tblPr>
      <w:tblGrid>
        <w:gridCol w:w="756"/>
        <w:gridCol w:w="67"/>
        <w:gridCol w:w="3193"/>
        <w:gridCol w:w="1300"/>
        <w:gridCol w:w="241"/>
        <w:gridCol w:w="1785"/>
        <w:gridCol w:w="1084"/>
        <w:gridCol w:w="181"/>
        <w:gridCol w:w="1265"/>
        <w:gridCol w:w="1265"/>
        <w:gridCol w:w="893"/>
        <w:gridCol w:w="373"/>
        <w:gridCol w:w="1265"/>
        <w:gridCol w:w="1265"/>
      </w:tblGrid>
      <w:tr w:rsidR="005507BD" w:rsidRPr="005507BD" w:rsidTr="005507BD">
        <w:trPr>
          <w:trHeight w:val="1080"/>
        </w:trPr>
        <w:tc>
          <w:tcPr>
            <w:tcW w:w="756"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bookmarkStart w:id="0" w:name="RANGE!A1:F47"/>
            <w:bookmarkEnd w:id="0"/>
          </w:p>
        </w:tc>
        <w:tc>
          <w:tcPr>
            <w:tcW w:w="3260"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300"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2900" w:type="dxa"/>
            <w:gridSpan w:val="3"/>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2900" w:type="dxa"/>
            <w:gridSpan w:val="4"/>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2540" w:type="dxa"/>
            <w:gridSpan w:val="3"/>
            <w:tcBorders>
              <w:top w:val="nil"/>
              <w:left w:val="nil"/>
              <w:bottom w:val="nil"/>
              <w:right w:val="nil"/>
            </w:tcBorders>
            <w:shd w:val="clear" w:color="auto" w:fill="auto"/>
            <w:vAlign w:val="bottom"/>
            <w:hideMark/>
          </w:tcPr>
          <w:p w:rsidR="005507BD" w:rsidRPr="005507BD" w:rsidRDefault="005507BD" w:rsidP="005507BD">
            <w:pPr>
              <w:autoSpaceDE/>
              <w:autoSpaceDN/>
              <w:rPr>
                <w:rFonts w:eastAsia="Times New Roman"/>
              </w:rPr>
            </w:pPr>
            <w:r w:rsidRPr="005507BD">
              <w:rPr>
                <w:rFonts w:eastAsia="Times New Roman"/>
              </w:rPr>
              <w:t>Приложение № 2</w:t>
            </w:r>
            <w:r w:rsidRPr="005507BD">
              <w:rPr>
                <w:rFonts w:eastAsia="Times New Roman"/>
              </w:rPr>
              <w:br/>
              <w:t>к предложению о размере цен (тарифов), долгосрочных параметров регулирования</w:t>
            </w:r>
          </w:p>
        </w:tc>
      </w:tr>
      <w:tr w:rsidR="005507BD" w:rsidRPr="005507BD" w:rsidTr="005507BD">
        <w:trPr>
          <w:trHeight w:val="315"/>
        </w:trPr>
        <w:tc>
          <w:tcPr>
            <w:tcW w:w="756"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3260"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300"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2900" w:type="dxa"/>
            <w:gridSpan w:val="3"/>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2900" w:type="dxa"/>
            <w:gridSpan w:val="4"/>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2540" w:type="dxa"/>
            <w:gridSpan w:val="3"/>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r>
      <w:tr w:rsidR="005507BD" w:rsidRPr="005507BD" w:rsidTr="005507BD">
        <w:trPr>
          <w:trHeight w:val="315"/>
        </w:trPr>
        <w:tc>
          <w:tcPr>
            <w:tcW w:w="756"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3260"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300"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2900" w:type="dxa"/>
            <w:gridSpan w:val="3"/>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2900" w:type="dxa"/>
            <w:gridSpan w:val="4"/>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2540" w:type="dxa"/>
            <w:gridSpan w:val="3"/>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r>
      <w:tr w:rsidR="005507BD" w:rsidRPr="005507BD" w:rsidTr="005507BD">
        <w:trPr>
          <w:trHeight w:val="630"/>
        </w:trPr>
        <w:tc>
          <w:tcPr>
            <w:tcW w:w="13656" w:type="dxa"/>
            <w:gridSpan w:val="14"/>
            <w:tcBorders>
              <w:top w:val="nil"/>
              <w:left w:val="nil"/>
              <w:bottom w:val="nil"/>
              <w:right w:val="nil"/>
            </w:tcBorders>
            <w:shd w:val="clear" w:color="auto" w:fill="auto"/>
            <w:vAlign w:val="bottom"/>
            <w:hideMark/>
          </w:tcPr>
          <w:p w:rsidR="005507BD" w:rsidRPr="005507BD" w:rsidRDefault="005507BD" w:rsidP="005507BD">
            <w:pPr>
              <w:autoSpaceDE/>
              <w:autoSpaceDN/>
              <w:jc w:val="center"/>
              <w:rPr>
                <w:rFonts w:eastAsia="Times New Roman"/>
                <w:sz w:val="26"/>
                <w:szCs w:val="26"/>
              </w:rPr>
            </w:pPr>
            <w:r w:rsidRPr="005507BD">
              <w:rPr>
                <w:rFonts w:eastAsia="Times New Roman"/>
                <w:sz w:val="26"/>
                <w:szCs w:val="26"/>
              </w:rPr>
              <w:t>Раздел 2. Основные показатели деятельности организаций, относящихся к субъектам естественных монополий,</w:t>
            </w:r>
            <w:r w:rsidRPr="005507BD">
              <w:rPr>
                <w:rFonts w:eastAsia="Times New Roman"/>
                <w:sz w:val="26"/>
                <w:szCs w:val="26"/>
              </w:rPr>
              <w:br/>
              <w:t>а также коммерческого оператора оптового рынка электрической энергии (мощности)</w:t>
            </w:r>
          </w:p>
        </w:tc>
      </w:tr>
      <w:tr w:rsidR="005507BD" w:rsidRPr="005507BD" w:rsidTr="005507BD">
        <w:trPr>
          <w:trHeight w:val="315"/>
        </w:trPr>
        <w:tc>
          <w:tcPr>
            <w:tcW w:w="756"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3260"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300"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2900" w:type="dxa"/>
            <w:gridSpan w:val="3"/>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2900" w:type="dxa"/>
            <w:gridSpan w:val="4"/>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2540" w:type="dxa"/>
            <w:gridSpan w:val="3"/>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r>
      <w:tr w:rsidR="005507BD" w:rsidRPr="005507BD" w:rsidTr="005507BD">
        <w:trPr>
          <w:trHeight w:val="315"/>
        </w:trPr>
        <w:tc>
          <w:tcPr>
            <w:tcW w:w="756"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3260"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300"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2900" w:type="dxa"/>
            <w:gridSpan w:val="3"/>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2900" w:type="dxa"/>
            <w:gridSpan w:val="4"/>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2540" w:type="dxa"/>
            <w:gridSpan w:val="3"/>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r>
      <w:tr w:rsidR="005507BD" w:rsidRPr="005507BD" w:rsidTr="005507BD">
        <w:trPr>
          <w:trHeight w:val="1005"/>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7BD" w:rsidRPr="005507BD" w:rsidRDefault="005507BD" w:rsidP="005507BD">
            <w:pPr>
              <w:autoSpaceDE/>
              <w:autoSpaceDN/>
              <w:jc w:val="center"/>
              <w:rPr>
                <w:rFonts w:eastAsia="Times New Roman"/>
                <w:sz w:val="24"/>
                <w:szCs w:val="24"/>
              </w:rPr>
            </w:pPr>
            <w:bookmarkStart w:id="1" w:name="RANGE!A7:F43"/>
            <w:r w:rsidRPr="005507BD">
              <w:rPr>
                <w:rFonts w:eastAsia="Times New Roman"/>
                <w:sz w:val="24"/>
                <w:szCs w:val="24"/>
              </w:rPr>
              <w:t xml:space="preserve">№ </w:t>
            </w:r>
            <w:r w:rsidRPr="005507BD">
              <w:rPr>
                <w:rFonts w:eastAsia="Times New Roman"/>
                <w:sz w:val="24"/>
                <w:szCs w:val="24"/>
              </w:rPr>
              <w:br/>
            </w:r>
            <w:proofErr w:type="spellStart"/>
            <w:proofErr w:type="gramStart"/>
            <w:r w:rsidRPr="005507BD">
              <w:rPr>
                <w:rFonts w:eastAsia="Times New Roman"/>
                <w:sz w:val="24"/>
                <w:szCs w:val="24"/>
              </w:rPr>
              <w:t>п</w:t>
            </w:r>
            <w:proofErr w:type="spellEnd"/>
            <w:proofErr w:type="gramEnd"/>
            <w:r w:rsidRPr="005507BD">
              <w:rPr>
                <w:rFonts w:eastAsia="Times New Roman"/>
                <w:sz w:val="24"/>
                <w:szCs w:val="24"/>
              </w:rPr>
              <w:t>/</w:t>
            </w:r>
            <w:proofErr w:type="spellStart"/>
            <w:r w:rsidRPr="005507BD">
              <w:rPr>
                <w:rFonts w:eastAsia="Times New Roman"/>
                <w:sz w:val="24"/>
                <w:szCs w:val="24"/>
              </w:rPr>
              <w:t>п</w:t>
            </w:r>
            <w:bookmarkEnd w:id="1"/>
            <w:proofErr w:type="spellEnd"/>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Наименование показателей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Единица измерения</w:t>
            </w:r>
          </w:p>
        </w:tc>
        <w:tc>
          <w:tcPr>
            <w:tcW w:w="2900" w:type="dxa"/>
            <w:gridSpan w:val="3"/>
            <w:tcBorders>
              <w:top w:val="single" w:sz="4" w:space="0" w:color="auto"/>
              <w:left w:val="nil"/>
              <w:bottom w:val="single" w:sz="4" w:space="0" w:color="auto"/>
              <w:right w:val="single" w:sz="4" w:space="0" w:color="auto"/>
            </w:tcBorders>
            <w:shd w:val="clear" w:color="auto" w:fill="auto"/>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xml:space="preserve">Фактические показатели </w:t>
            </w:r>
            <w:r w:rsidRPr="005507BD">
              <w:rPr>
                <w:rFonts w:eastAsia="Times New Roman"/>
                <w:sz w:val="24"/>
                <w:szCs w:val="24"/>
              </w:rPr>
              <w:br/>
              <w:t>за год, предшествующий базовому периоду</w:t>
            </w:r>
          </w:p>
        </w:tc>
        <w:tc>
          <w:tcPr>
            <w:tcW w:w="2900" w:type="dxa"/>
            <w:gridSpan w:val="4"/>
            <w:tcBorders>
              <w:top w:val="single" w:sz="4" w:space="0" w:color="auto"/>
              <w:left w:val="nil"/>
              <w:bottom w:val="single" w:sz="4" w:space="0" w:color="auto"/>
              <w:right w:val="single" w:sz="4" w:space="0" w:color="auto"/>
            </w:tcBorders>
            <w:shd w:val="clear" w:color="auto" w:fill="auto"/>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xml:space="preserve">Показатели, утвержденные </w:t>
            </w:r>
            <w:r w:rsidRPr="005507BD">
              <w:rPr>
                <w:rFonts w:eastAsia="Times New Roman"/>
                <w:sz w:val="24"/>
                <w:szCs w:val="24"/>
              </w:rPr>
              <w:br/>
              <w:t xml:space="preserve">на базовый период </w:t>
            </w:r>
            <w:r w:rsidRPr="005507BD">
              <w:rPr>
                <w:rFonts w:eastAsia="Times New Roman"/>
                <w:sz w:val="24"/>
                <w:szCs w:val="24"/>
                <w:vertAlign w:val="superscript"/>
              </w:rPr>
              <w:t>1</w:t>
            </w:r>
          </w:p>
        </w:tc>
        <w:tc>
          <w:tcPr>
            <w:tcW w:w="2540" w:type="dxa"/>
            <w:gridSpan w:val="3"/>
            <w:tcBorders>
              <w:top w:val="single" w:sz="4" w:space="0" w:color="auto"/>
              <w:left w:val="nil"/>
              <w:bottom w:val="single" w:sz="4" w:space="0" w:color="auto"/>
              <w:right w:val="single" w:sz="4" w:space="0" w:color="auto"/>
            </w:tcBorders>
            <w:shd w:val="clear" w:color="auto" w:fill="auto"/>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xml:space="preserve">Предложения </w:t>
            </w:r>
            <w:r w:rsidRPr="005507BD">
              <w:rPr>
                <w:rFonts w:eastAsia="Times New Roman"/>
                <w:sz w:val="24"/>
                <w:szCs w:val="24"/>
              </w:rPr>
              <w:br/>
              <w:t>на расчетный период регулирования</w:t>
            </w:r>
          </w:p>
        </w:tc>
      </w:tr>
      <w:tr w:rsidR="005507BD" w:rsidRPr="005507BD" w:rsidTr="005507BD">
        <w:trPr>
          <w:trHeight w:val="840"/>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1.</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Показатели эффективности деятельности организации</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r>
      <w:tr w:rsidR="005507BD" w:rsidRPr="005507BD" w:rsidTr="005507BD">
        <w:trPr>
          <w:trHeight w:val="574"/>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1.1.</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Выручка</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тыс. рублей</w:t>
            </w:r>
          </w:p>
        </w:tc>
        <w:tc>
          <w:tcPr>
            <w:tcW w:w="2900" w:type="dxa"/>
            <w:gridSpan w:val="3"/>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296 115,88</w:t>
            </w:r>
          </w:p>
        </w:tc>
        <w:tc>
          <w:tcPr>
            <w:tcW w:w="2900" w:type="dxa"/>
            <w:gridSpan w:val="4"/>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322 611,34</w:t>
            </w:r>
          </w:p>
        </w:tc>
        <w:tc>
          <w:tcPr>
            <w:tcW w:w="2540" w:type="dxa"/>
            <w:gridSpan w:val="3"/>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339 530,82</w:t>
            </w:r>
          </w:p>
        </w:tc>
      </w:tr>
      <w:tr w:rsidR="005507BD" w:rsidRPr="005507BD" w:rsidTr="005507BD">
        <w:trPr>
          <w:trHeight w:val="574"/>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1.2.</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Прибыль (убыток) от продаж</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тыс. рублей</w:t>
            </w:r>
          </w:p>
        </w:tc>
        <w:tc>
          <w:tcPr>
            <w:tcW w:w="2900" w:type="dxa"/>
            <w:gridSpan w:val="3"/>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51 659,99</w:t>
            </w:r>
          </w:p>
        </w:tc>
        <w:tc>
          <w:tcPr>
            <w:tcW w:w="2900" w:type="dxa"/>
            <w:gridSpan w:val="4"/>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2 982,75</w:t>
            </w:r>
          </w:p>
        </w:tc>
        <w:tc>
          <w:tcPr>
            <w:tcW w:w="2540" w:type="dxa"/>
            <w:gridSpan w:val="3"/>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3 674,23</w:t>
            </w:r>
          </w:p>
        </w:tc>
      </w:tr>
      <w:tr w:rsidR="005507BD" w:rsidRPr="005507BD" w:rsidTr="005507BD">
        <w:trPr>
          <w:trHeight w:val="1185"/>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1.3.</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EBITDA (прибыль до процентов, налогов и амортизации)</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тыс. рублей</w:t>
            </w:r>
          </w:p>
        </w:tc>
        <w:tc>
          <w:tcPr>
            <w:tcW w:w="2900" w:type="dxa"/>
            <w:gridSpan w:val="3"/>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60 292,39</w:t>
            </w:r>
          </w:p>
        </w:tc>
        <w:tc>
          <w:tcPr>
            <w:tcW w:w="2900" w:type="dxa"/>
            <w:gridSpan w:val="4"/>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3 362,75</w:t>
            </w:r>
          </w:p>
        </w:tc>
        <w:tc>
          <w:tcPr>
            <w:tcW w:w="2540" w:type="dxa"/>
            <w:gridSpan w:val="3"/>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12 745,69</w:t>
            </w:r>
          </w:p>
        </w:tc>
      </w:tr>
      <w:tr w:rsidR="005507BD" w:rsidRPr="005507BD" w:rsidTr="005507BD">
        <w:trPr>
          <w:trHeight w:val="555"/>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1.4.</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Чистая прибыль (убыток)</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тыс. рублей</w:t>
            </w:r>
          </w:p>
        </w:tc>
        <w:tc>
          <w:tcPr>
            <w:tcW w:w="2900" w:type="dxa"/>
            <w:gridSpan w:val="3"/>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36 009,55</w:t>
            </w:r>
          </w:p>
        </w:tc>
        <w:tc>
          <w:tcPr>
            <w:tcW w:w="2900" w:type="dxa"/>
            <w:gridSpan w:val="4"/>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0,00</w:t>
            </w:r>
          </w:p>
        </w:tc>
        <w:tc>
          <w:tcPr>
            <w:tcW w:w="2540" w:type="dxa"/>
            <w:gridSpan w:val="3"/>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0,00</w:t>
            </w:r>
          </w:p>
        </w:tc>
      </w:tr>
      <w:tr w:rsidR="005507BD" w:rsidRPr="005507BD" w:rsidTr="005507BD">
        <w:trPr>
          <w:trHeight w:val="825"/>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2.</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Показатели рентабельности организации</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r>
      <w:tr w:rsidR="005507BD" w:rsidRPr="005507BD" w:rsidTr="005507BD">
        <w:trPr>
          <w:trHeight w:val="2205"/>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lastRenderedPageBreak/>
              <w:t>2.1.</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 xml:space="preserve">Рентабельность продаж (величина прибыли от продаж </w:t>
            </w:r>
            <w:r w:rsidRPr="005507BD">
              <w:rPr>
                <w:rFonts w:eastAsia="Times New Roman"/>
                <w:sz w:val="24"/>
                <w:szCs w:val="24"/>
              </w:rPr>
              <w:br w:type="page"/>
              <w:t xml:space="preserve">в каждом рубле выручки). </w:t>
            </w:r>
            <w:r w:rsidRPr="005507BD">
              <w:rPr>
                <w:rFonts w:eastAsia="Times New Roman"/>
                <w:sz w:val="24"/>
                <w:szCs w:val="24"/>
              </w:rPr>
              <w:br w:type="page"/>
              <w:t>Нормальное значение для данной отрасли от 9 процентов и более</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процент</w:t>
            </w:r>
          </w:p>
        </w:tc>
        <w:tc>
          <w:tcPr>
            <w:tcW w:w="2900" w:type="dxa"/>
            <w:gridSpan w:val="3"/>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17</w:t>
            </w:r>
          </w:p>
        </w:tc>
        <w:tc>
          <w:tcPr>
            <w:tcW w:w="2900" w:type="dxa"/>
            <w:gridSpan w:val="4"/>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1</w:t>
            </w:r>
          </w:p>
        </w:tc>
        <w:tc>
          <w:tcPr>
            <w:tcW w:w="2540" w:type="dxa"/>
            <w:gridSpan w:val="3"/>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1</w:t>
            </w:r>
          </w:p>
        </w:tc>
      </w:tr>
      <w:tr w:rsidR="005507BD" w:rsidRPr="005507BD" w:rsidTr="005507BD">
        <w:trPr>
          <w:trHeight w:val="1170"/>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3.</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 xml:space="preserve">Показатели регулируемых </w:t>
            </w:r>
            <w:r w:rsidRPr="005507BD">
              <w:rPr>
                <w:rFonts w:eastAsia="Times New Roman"/>
                <w:sz w:val="24"/>
                <w:szCs w:val="24"/>
              </w:rPr>
              <w:br/>
              <w:t>видов деятельности организации</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r>
      <w:tr w:rsidR="005507BD" w:rsidRPr="005507BD" w:rsidTr="005507BD">
        <w:trPr>
          <w:trHeight w:val="1215"/>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3.1.</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 xml:space="preserve">Расчетный объем услуг в части управления технологическими режимами </w:t>
            </w:r>
            <w:r w:rsidRPr="005507BD">
              <w:rPr>
                <w:rFonts w:eastAsia="Times New Roman"/>
                <w:sz w:val="24"/>
                <w:szCs w:val="24"/>
                <w:vertAlign w:val="superscript"/>
              </w:rPr>
              <w:t>2</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МВт</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r>
      <w:tr w:rsidR="005507BD" w:rsidRPr="005507BD" w:rsidTr="005507BD">
        <w:trPr>
          <w:trHeight w:val="795"/>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3.2.</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 xml:space="preserve">Расчетный объем услуг в части обеспечения надежности </w:t>
            </w:r>
            <w:r w:rsidRPr="005507BD">
              <w:rPr>
                <w:rFonts w:eastAsia="Times New Roman"/>
                <w:sz w:val="24"/>
                <w:szCs w:val="24"/>
                <w:vertAlign w:val="superscript"/>
              </w:rPr>
              <w:t>2</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МВт·</w:t>
            </w:r>
            <w:proofErr w:type="gramStart"/>
            <w:r w:rsidRPr="005507BD">
              <w:rPr>
                <w:rFonts w:eastAsia="Times New Roman"/>
                <w:sz w:val="24"/>
                <w:szCs w:val="24"/>
              </w:rPr>
              <w:t>ч</w:t>
            </w:r>
            <w:proofErr w:type="gramEnd"/>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r>
      <w:tr w:rsidR="005507BD" w:rsidRPr="005507BD" w:rsidTr="005507BD">
        <w:trPr>
          <w:trHeight w:val="495"/>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3.3.</w:t>
            </w:r>
          </w:p>
        </w:tc>
        <w:tc>
          <w:tcPr>
            <w:tcW w:w="3260" w:type="dxa"/>
            <w:gridSpan w:val="2"/>
            <w:tcBorders>
              <w:top w:val="nil"/>
              <w:left w:val="nil"/>
              <w:bottom w:val="single" w:sz="4" w:space="0" w:color="auto"/>
              <w:right w:val="single" w:sz="4" w:space="0" w:color="auto"/>
            </w:tcBorders>
            <w:shd w:val="clear" w:color="auto" w:fill="auto"/>
            <w:vAlign w:val="bottom"/>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 xml:space="preserve">Заявленная мощность </w:t>
            </w:r>
            <w:r w:rsidRPr="005507BD">
              <w:rPr>
                <w:rFonts w:eastAsia="Times New Roman"/>
                <w:sz w:val="24"/>
                <w:szCs w:val="24"/>
                <w:vertAlign w:val="superscript"/>
              </w:rPr>
              <w:t>3</w:t>
            </w:r>
          </w:p>
        </w:tc>
        <w:tc>
          <w:tcPr>
            <w:tcW w:w="1300" w:type="dxa"/>
            <w:tcBorders>
              <w:top w:val="nil"/>
              <w:left w:val="nil"/>
              <w:bottom w:val="single" w:sz="4" w:space="0" w:color="auto"/>
              <w:right w:val="single" w:sz="4" w:space="0" w:color="auto"/>
            </w:tcBorders>
            <w:shd w:val="clear" w:color="auto" w:fill="auto"/>
            <w:vAlign w:val="bottom"/>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МВт</w:t>
            </w:r>
          </w:p>
        </w:tc>
        <w:tc>
          <w:tcPr>
            <w:tcW w:w="2900" w:type="dxa"/>
            <w:gridSpan w:val="3"/>
            <w:tcBorders>
              <w:top w:val="nil"/>
              <w:left w:val="nil"/>
              <w:bottom w:val="single" w:sz="4" w:space="0" w:color="auto"/>
              <w:right w:val="single" w:sz="4" w:space="0" w:color="auto"/>
            </w:tcBorders>
            <w:shd w:val="clear" w:color="auto" w:fill="auto"/>
            <w:noWrap/>
            <w:vAlign w:val="bottom"/>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55,40</w:t>
            </w:r>
          </w:p>
        </w:tc>
        <w:tc>
          <w:tcPr>
            <w:tcW w:w="2900" w:type="dxa"/>
            <w:gridSpan w:val="4"/>
            <w:tcBorders>
              <w:top w:val="nil"/>
              <w:left w:val="nil"/>
              <w:bottom w:val="single" w:sz="4" w:space="0" w:color="auto"/>
              <w:right w:val="single" w:sz="4" w:space="0" w:color="auto"/>
            </w:tcBorders>
            <w:shd w:val="clear" w:color="auto" w:fill="auto"/>
            <w:noWrap/>
            <w:vAlign w:val="bottom"/>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55,40</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55,40</w:t>
            </w:r>
          </w:p>
        </w:tc>
      </w:tr>
      <w:tr w:rsidR="005507BD" w:rsidRPr="005507BD" w:rsidTr="005507BD">
        <w:trPr>
          <w:trHeight w:val="1200"/>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br/>
              <w:t>3.4.</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br/>
              <w:t xml:space="preserve">Объем полезного отпуска электроэнергии - всего </w:t>
            </w:r>
            <w:r w:rsidRPr="005507BD">
              <w:rPr>
                <w:rFonts w:eastAsia="Times New Roman"/>
                <w:sz w:val="24"/>
                <w:szCs w:val="24"/>
                <w:vertAlign w:val="superscript"/>
              </w:rPr>
              <w:t>3</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br/>
              <w:t>тыс. кВт·</w:t>
            </w:r>
            <w:proofErr w:type="gramStart"/>
            <w:r w:rsidRPr="005507BD">
              <w:rPr>
                <w:rFonts w:eastAsia="Times New Roman"/>
                <w:sz w:val="24"/>
                <w:szCs w:val="24"/>
              </w:rPr>
              <w:t>ч</w:t>
            </w:r>
            <w:proofErr w:type="gramEnd"/>
          </w:p>
        </w:tc>
        <w:tc>
          <w:tcPr>
            <w:tcW w:w="2900" w:type="dxa"/>
            <w:gridSpan w:val="3"/>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427 129,22</w:t>
            </w:r>
          </w:p>
        </w:tc>
        <w:tc>
          <w:tcPr>
            <w:tcW w:w="2900" w:type="dxa"/>
            <w:gridSpan w:val="4"/>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434 736,82</w:t>
            </w:r>
          </w:p>
        </w:tc>
        <w:tc>
          <w:tcPr>
            <w:tcW w:w="2540" w:type="dxa"/>
            <w:gridSpan w:val="3"/>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427 100,00</w:t>
            </w:r>
          </w:p>
        </w:tc>
      </w:tr>
      <w:tr w:rsidR="005507BD" w:rsidRPr="005507BD" w:rsidTr="005507BD">
        <w:trPr>
          <w:trHeight w:val="1530"/>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3.5.</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 xml:space="preserve">Объем полезного отпуска электроэнергии населению и приравненным к нему категориям потребителей </w:t>
            </w:r>
            <w:r w:rsidRPr="005507BD">
              <w:rPr>
                <w:rFonts w:eastAsia="Times New Roman"/>
                <w:sz w:val="24"/>
                <w:szCs w:val="24"/>
                <w:vertAlign w:val="superscript"/>
              </w:rPr>
              <w:t>3</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тыс. кВт·</w:t>
            </w:r>
            <w:proofErr w:type="gramStart"/>
            <w:r w:rsidRPr="005507BD">
              <w:rPr>
                <w:rFonts w:eastAsia="Times New Roman"/>
                <w:sz w:val="24"/>
                <w:szCs w:val="24"/>
              </w:rPr>
              <w:t>ч</w:t>
            </w:r>
            <w:proofErr w:type="gramEnd"/>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r>
      <w:tr w:rsidR="005507BD" w:rsidRPr="005507BD" w:rsidTr="005507BD">
        <w:trPr>
          <w:trHeight w:val="1740"/>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lastRenderedPageBreak/>
              <w:t>3.6.</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Норматив потерь электрической энергии (с указанием реквизитов приказа Минэнерго России, которым утверждены нормативы)</w:t>
            </w:r>
            <w:r w:rsidRPr="005507BD">
              <w:rPr>
                <w:rFonts w:eastAsia="Times New Roman"/>
                <w:sz w:val="24"/>
                <w:szCs w:val="24"/>
                <w:vertAlign w:val="superscript"/>
              </w:rPr>
              <w:t>3</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процент</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4,10</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5,93</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12,22</w:t>
            </w:r>
          </w:p>
        </w:tc>
      </w:tr>
      <w:tr w:rsidR="005507BD" w:rsidRPr="005507BD" w:rsidTr="005507BD">
        <w:trPr>
          <w:trHeight w:val="1470"/>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3.7.</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 xml:space="preserve">Реквизиты программы </w:t>
            </w:r>
            <w:proofErr w:type="spellStart"/>
            <w:r w:rsidRPr="005507BD">
              <w:rPr>
                <w:rFonts w:eastAsia="Times New Roman"/>
                <w:sz w:val="24"/>
                <w:szCs w:val="24"/>
              </w:rPr>
              <w:t>энергоэффективности</w:t>
            </w:r>
            <w:proofErr w:type="spellEnd"/>
            <w:r w:rsidRPr="005507BD">
              <w:rPr>
                <w:rFonts w:eastAsia="Times New Roman"/>
                <w:sz w:val="24"/>
                <w:szCs w:val="24"/>
              </w:rPr>
              <w:t xml:space="preserve"> (кем утверждена, дата утверждения, номер приказа)</w:t>
            </w:r>
            <w:r w:rsidRPr="005507BD">
              <w:rPr>
                <w:rFonts w:eastAsia="Times New Roman"/>
                <w:sz w:val="24"/>
                <w:szCs w:val="24"/>
                <w:vertAlign w:val="superscript"/>
              </w:rPr>
              <w:t>3</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r>
      <w:tr w:rsidR="005507BD" w:rsidRPr="005507BD" w:rsidTr="005507BD">
        <w:trPr>
          <w:trHeight w:val="1740"/>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3.8.</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 xml:space="preserve">Суммарный объем производства и потребления электрической энергии участниками оптового рынка электрической энергии </w:t>
            </w:r>
            <w:r w:rsidRPr="005507BD">
              <w:rPr>
                <w:rFonts w:eastAsia="Times New Roman"/>
                <w:sz w:val="24"/>
                <w:szCs w:val="24"/>
                <w:vertAlign w:val="superscript"/>
              </w:rPr>
              <w:t>4</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МВт·</w:t>
            </w:r>
            <w:proofErr w:type="gramStart"/>
            <w:r w:rsidRPr="005507BD">
              <w:rPr>
                <w:rFonts w:eastAsia="Times New Roman"/>
                <w:sz w:val="24"/>
                <w:szCs w:val="24"/>
              </w:rPr>
              <w:t>ч</w:t>
            </w:r>
            <w:proofErr w:type="gramEnd"/>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r>
      <w:tr w:rsidR="005507BD" w:rsidRPr="005507BD" w:rsidTr="005507BD">
        <w:trPr>
          <w:trHeight w:val="1440"/>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4.</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Необходимая валовая выручка по регулируемым видам деятельности организации - всего</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260 106,34</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322 611,34</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339 530,82</w:t>
            </w:r>
          </w:p>
        </w:tc>
      </w:tr>
      <w:tr w:rsidR="005507BD" w:rsidRPr="005507BD" w:rsidTr="005507BD">
        <w:trPr>
          <w:trHeight w:val="1800"/>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4.1.</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Расходы, связанные</w:t>
            </w:r>
            <w:r w:rsidRPr="005507BD">
              <w:rPr>
                <w:rFonts w:eastAsia="Times New Roman"/>
                <w:sz w:val="24"/>
                <w:szCs w:val="24"/>
              </w:rPr>
              <w:br/>
              <w:t>с производством</w:t>
            </w:r>
            <w:r w:rsidRPr="005507BD">
              <w:rPr>
                <w:rFonts w:eastAsia="Times New Roman"/>
                <w:sz w:val="24"/>
                <w:szCs w:val="24"/>
              </w:rPr>
              <w:br/>
              <w:t xml:space="preserve">и реализацией </w:t>
            </w:r>
            <w:r w:rsidRPr="005507BD">
              <w:rPr>
                <w:rFonts w:eastAsia="Times New Roman"/>
                <w:sz w:val="24"/>
                <w:szCs w:val="24"/>
                <w:vertAlign w:val="superscript"/>
              </w:rPr>
              <w:t>2, 4</w:t>
            </w:r>
            <w:r w:rsidRPr="005507BD">
              <w:rPr>
                <w:rFonts w:eastAsia="Times New Roman"/>
                <w:sz w:val="24"/>
                <w:szCs w:val="24"/>
              </w:rPr>
              <w:t xml:space="preserve">; подконтрольные расходы </w:t>
            </w:r>
            <w:r w:rsidRPr="005507BD">
              <w:rPr>
                <w:rFonts w:eastAsia="Times New Roman"/>
                <w:sz w:val="24"/>
                <w:szCs w:val="24"/>
                <w:vertAlign w:val="superscript"/>
              </w:rPr>
              <w:t>3</w:t>
            </w:r>
            <w:r w:rsidRPr="005507BD">
              <w:rPr>
                <w:rFonts w:eastAsia="Times New Roman"/>
                <w:sz w:val="24"/>
                <w:szCs w:val="24"/>
              </w:rPr>
              <w:t xml:space="preserve"> - всего</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тыс. рублей</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234 405,97</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321 798,34</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316 989,71</w:t>
            </w:r>
          </w:p>
        </w:tc>
      </w:tr>
      <w:tr w:rsidR="005507BD" w:rsidRPr="005507BD" w:rsidTr="005507BD">
        <w:trPr>
          <w:trHeight w:val="552"/>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в том числе:</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r>
      <w:tr w:rsidR="005507BD" w:rsidRPr="005507BD" w:rsidTr="005507BD">
        <w:trPr>
          <w:trHeight w:val="552"/>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оплата труда</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26 043,38</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82 187,00</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40 388,86</w:t>
            </w:r>
          </w:p>
        </w:tc>
      </w:tr>
      <w:tr w:rsidR="005507BD" w:rsidRPr="005507BD" w:rsidTr="005507BD">
        <w:trPr>
          <w:trHeight w:val="552"/>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lastRenderedPageBreak/>
              <w:t> </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ремонт основных фондов</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13 211,25</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755,00</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57 611,13</w:t>
            </w:r>
          </w:p>
        </w:tc>
      </w:tr>
      <w:tr w:rsidR="005507BD" w:rsidRPr="005507BD" w:rsidTr="005507BD">
        <w:trPr>
          <w:trHeight w:val="552"/>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материальные затраты</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2 001,34</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18 347,00</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15 903,40</w:t>
            </w:r>
          </w:p>
        </w:tc>
      </w:tr>
      <w:tr w:rsidR="005507BD" w:rsidRPr="005507BD" w:rsidTr="005507BD">
        <w:trPr>
          <w:trHeight w:val="1710"/>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4.2.</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 xml:space="preserve">Расходы, за исключением </w:t>
            </w:r>
            <w:proofErr w:type="gramStart"/>
            <w:r w:rsidRPr="005507BD">
              <w:rPr>
                <w:rFonts w:eastAsia="Times New Roman"/>
                <w:sz w:val="24"/>
                <w:szCs w:val="24"/>
              </w:rPr>
              <w:t>указанных</w:t>
            </w:r>
            <w:proofErr w:type="gramEnd"/>
            <w:r w:rsidRPr="005507BD">
              <w:rPr>
                <w:rFonts w:eastAsia="Times New Roman"/>
                <w:sz w:val="24"/>
                <w:szCs w:val="24"/>
              </w:rPr>
              <w:t xml:space="preserve"> в подпункте 4.1 </w:t>
            </w:r>
            <w:r w:rsidRPr="005507BD">
              <w:rPr>
                <w:rFonts w:eastAsia="Times New Roman"/>
                <w:sz w:val="24"/>
                <w:szCs w:val="24"/>
                <w:vertAlign w:val="superscript"/>
              </w:rPr>
              <w:t>2, 4</w:t>
            </w:r>
            <w:r w:rsidRPr="005507BD">
              <w:rPr>
                <w:rFonts w:eastAsia="Times New Roman"/>
                <w:sz w:val="24"/>
                <w:szCs w:val="24"/>
              </w:rPr>
              <w:t xml:space="preserve">; неподконтрольные расходы </w:t>
            </w:r>
            <w:r w:rsidRPr="005507BD">
              <w:rPr>
                <w:rFonts w:eastAsia="Times New Roman"/>
                <w:sz w:val="24"/>
                <w:szCs w:val="24"/>
                <w:vertAlign w:val="superscript"/>
              </w:rPr>
              <w:t>3</w:t>
            </w:r>
            <w:r w:rsidRPr="005507BD">
              <w:rPr>
                <w:rFonts w:eastAsia="Times New Roman"/>
                <w:sz w:val="24"/>
                <w:szCs w:val="24"/>
              </w:rPr>
              <w:t xml:space="preserve"> - всего </w:t>
            </w:r>
            <w:r w:rsidRPr="005507BD">
              <w:rPr>
                <w:rFonts w:eastAsia="Times New Roman"/>
                <w:sz w:val="24"/>
                <w:szCs w:val="24"/>
                <w:vertAlign w:val="superscript"/>
              </w:rPr>
              <w:t>3</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тыс. рублей</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25 700,37</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813,00</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22 541,12</w:t>
            </w:r>
          </w:p>
        </w:tc>
      </w:tr>
      <w:tr w:rsidR="005507BD" w:rsidRPr="005507BD" w:rsidTr="005507BD">
        <w:trPr>
          <w:trHeight w:val="1215"/>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4.3.</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 xml:space="preserve">Выпадающие, </w:t>
            </w:r>
            <w:r w:rsidRPr="005507BD">
              <w:rPr>
                <w:rFonts w:eastAsia="Times New Roman"/>
                <w:sz w:val="24"/>
                <w:szCs w:val="24"/>
              </w:rPr>
              <w:br/>
              <w:t>излишние доходы (расходы) прошлых лет</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тыс. рублей</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r>
      <w:tr w:rsidR="005507BD" w:rsidRPr="005507BD" w:rsidTr="005507BD">
        <w:trPr>
          <w:trHeight w:val="870"/>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4.4.</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 xml:space="preserve">Инвестиции, осуществляемые </w:t>
            </w:r>
            <w:r w:rsidRPr="005507BD">
              <w:rPr>
                <w:rFonts w:eastAsia="Times New Roman"/>
                <w:sz w:val="24"/>
                <w:szCs w:val="24"/>
              </w:rPr>
              <w:br/>
              <w:t>за счет тарифных источников</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тыс. рублей</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r>
      <w:tr w:rsidR="005507BD" w:rsidRPr="005507BD" w:rsidTr="005507BD">
        <w:trPr>
          <w:trHeight w:val="1410"/>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4.4.1.</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Реквизиты инвестиционной программы (кем утверждена, дата утверждения, номер приказа)</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r>
      <w:tr w:rsidR="005507BD" w:rsidRPr="005507BD" w:rsidTr="005507BD">
        <w:trPr>
          <w:trHeight w:val="540"/>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i/>
                <w:iCs/>
                <w:sz w:val="24"/>
                <w:szCs w:val="24"/>
              </w:rPr>
            </w:pPr>
            <w:proofErr w:type="spellStart"/>
            <w:r w:rsidRPr="005507BD">
              <w:rPr>
                <w:rFonts w:eastAsia="Times New Roman"/>
                <w:i/>
                <w:iCs/>
                <w:sz w:val="24"/>
                <w:szCs w:val="24"/>
              </w:rPr>
              <w:t>Справочно</w:t>
            </w:r>
            <w:proofErr w:type="spellEnd"/>
            <w:r w:rsidRPr="005507BD">
              <w:rPr>
                <w:rFonts w:eastAsia="Times New Roman"/>
                <w:i/>
                <w:iCs/>
                <w:sz w:val="24"/>
                <w:szCs w:val="24"/>
              </w:rPr>
              <w:t>:</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r>
      <w:tr w:rsidR="005507BD" w:rsidRPr="005507BD" w:rsidTr="005507BD">
        <w:trPr>
          <w:trHeight w:val="615"/>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 xml:space="preserve">Объем условных единиц </w:t>
            </w:r>
            <w:r w:rsidRPr="005507BD">
              <w:rPr>
                <w:rFonts w:eastAsia="Times New Roman"/>
                <w:sz w:val="24"/>
                <w:szCs w:val="24"/>
                <w:vertAlign w:val="superscript"/>
              </w:rPr>
              <w:t>3</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proofErr w:type="spellStart"/>
            <w:r w:rsidRPr="005507BD">
              <w:rPr>
                <w:rFonts w:eastAsia="Times New Roman"/>
                <w:sz w:val="24"/>
                <w:szCs w:val="24"/>
              </w:rPr>
              <w:t>у.е</w:t>
            </w:r>
            <w:proofErr w:type="spellEnd"/>
            <w:r w:rsidRPr="005507BD">
              <w:rPr>
                <w:rFonts w:eastAsia="Times New Roman"/>
                <w:sz w:val="24"/>
                <w:szCs w:val="24"/>
              </w:rPr>
              <w:t>.</w:t>
            </w:r>
          </w:p>
        </w:tc>
        <w:tc>
          <w:tcPr>
            <w:tcW w:w="2900" w:type="dxa"/>
            <w:gridSpan w:val="3"/>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1 904,40</w:t>
            </w:r>
          </w:p>
        </w:tc>
        <w:tc>
          <w:tcPr>
            <w:tcW w:w="2900" w:type="dxa"/>
            <w:gridSpan w:val="4"/>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1 904,40</w:t>
            </w:r>
          </w:p>
        </w:tc>
        <w:tc>
          <w:tcPr>
            <w:tcW w:w="2540" w:type="dxa"/>
            <w:gridSpan w:val="3"/>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1 904,40</w:t>
            </w:r>
          </w:p>
        </w:tc>
      </w:tr>
      <w:tr w:rsidR="005507BD" w:rsidRPr="005507BD" w:rsidTr="005507BD">
        <w:trPr>
          <w:trHeight w:val="945"/>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 xml:space="preserve">Операционные расходы на условную единицу </w:t>
            </w:r>
            <w:r w:rsidRPr="005507BD">
              <w:rPr>
                <w:rFonts w:eastAsia="Times New Roman"/>
                <w:sz w:val="24"/>
                <w:szCs w:val="24"/>
                <w:vertAlign w:val="superscript"/>
              </w:rPr>
              <w:t>3</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тыс. рублей (</w:t>
            </w:r>
            <w:proofErr w:type="spellStart"/>
            <w:r w:rsidRPr="005507BD">
              <w:rPr>
                <w:rFonts w:eastAsia="Times New Roman"/>
                <w:sz w:val="24"/>
                <w:szCs w:val="24"/>
              </w:rPr>
              <w:t>у.е</w:t>
            </w:r>
            <w:proofErr w:type="spellEnd"/>
            <w:r w:rsidRPr="005507BD">
              <w:rPr>
                <w:rFonts w:eastAsia="Times New Roman"/>
                <w:sz w:val="24"/>
                <w:szCs w:val="24"/>
              </w:rPr>
              <w:t>.)</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123,09</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168,98</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166,45</w:t>
            </w:r>
          </w:p>
        </w:tc>
      </w:tr>
      <w:tr w:rsidR="005507BD" w:rsidRPr="005507BD" w:rsidTr="005507BD">
        <w:trPr>
          <w:trHeight w:val="1455"/>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lastRenderedPageBreak/>
              <w:t>5.</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Показатели численности персонала и фонда оплаты труда по регулируемым видам деятельности</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r>
      <w:tr w:rsidR="005507BD" w:rsidRPr="005507BD" w:rsidTr="005507BD">
        <w:trPr>
          <w:trHeight w:val="825"/>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5.1.</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Среднесписочная численность персонала</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человек</w:t>
            </w:r>
          </w:p>
        </w:tc>
        <w:tc>
          <w:tcPr>
            <w:tcW w:w="2900" w:type="dxa"/>
            <w:gridSpan w:val="3"/>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30,44</w:t>
            </w:r>
          </w:p>
        </w:tc>
        <w:tc>
          <w:tcPr>
            <w:tcW w:w="2900" w:type="dxa"/>
            <w:gridSpan w:val="4"/>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156,00</w:t>
            </w:r>
          </w:p>
        </w:tc>
        <w:tc>
          <w:tcPr>
            <w:tcW w:w="2540" w:type="dxa"/>
            <w:gridSpan w:val="3"/>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50,02</w:t>
            </w:r>
          </w:p>
        </w:tc>
      </w:tr>
      <w:tr w:rsidR="005507BD" w:rsidRPr="005507BD" w:rsidTr="005507BD">
        <w:trPr>
          <w:trHeight w:val="945"/>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5.2.</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Среднемесячная заработная плата на одного работника</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xml:space="preserve">тыс. рублей на </w:t>
            </w:r>
            <w:r w:rsidRPr="005507BD">
              <w:rPr>
                <w:rFonts w:eastAsia="Times New Roman"/>
                <w:sz w:val="24"/>
                <w:szCs w:val="24"/>
              </w:rPr>
              <w:br/>
              <w:t>человека</w:t>
            </w:r>
          </w:p>
        </w:tc>
        <w:tc>
          <w:tcPr>
            <w:tcW w:w="2900" w:type="dxa"/>
            <w:gridSpan w:val="3"/>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71,30</w:t>
            </w:r>
          </w:p>
        </w:tc>
        <w:tc>
          <w:tcPr>
            <w:tcW w:w="2900" w:type="dxa"/>
            <w:gridSpan w:val="4"/>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43,90</w:t>
            </w:r>
          </w:p>
        </w:tc>
        <w:tc>
          <w:tcPr>
            <w:tcW w:w="2540" w:type="dxa"/>
            <w:gridSpan w:val="3"/>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67,29</w:t>
            </w:r>
          </w:p>
        </w:tc>
      </w:tr>
      <w:tr w:rsidR="005507BD" w:rsidRPr="005507BD" w:rsidTr="005507BD">
        <w:trPr>
          <w:trHeight w:val="1185"/>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5.3.</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Реквизиты отраслевого тарифного соглашения (дата утверждения, срок действия)</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r>
      <w:tr w:rsidR="005507BD" w:rsidRPr="005507BD" w:rsidTr="005507BD">
        <w:trPr>
          <w:trHeight w:val="540"/>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i/>
                <w:iCs/>
                <w:sz w:val="24"/>
                <w:szCs w:val="24"/>
              </w:rPr>
            </w:pPr>
            <w:proofErr w:type="spellStart"/>
            <w:r w:rsidRPr="005507BD">
              <w:rPr>
                <w:rFonts w:eastAsia="Times New Roman"/>
                <w:i/>
                <w:iCs/>
                <w:sz w:val="24"/>
                <w:szCs w:val="24"/>
              </w:rPr>
              <w:t>Справочно</w:t>
            </w:r>
            <w:proofErr w:type="spellEnd"/>
            <w:r w:rsidRPr="005507BD">
              <w:rPr>
                <w:rFonts w:eastAsia="Times New Roman"/>
                <w:i/>
                <w:iCs/>
                <w:sz w:val="24"/>
                <w:szCs w:val="24"/>
              </w:rPr>
              <w:t>:</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r>
      <w:tr w:rsidR="005507BD" w:rsidRPr="005507BD" w:rsidTr="005507BD">
        <w:trPr>
          <w:trHeight w:val="1365"/>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Уставный капитал (складочный капитал, уставный фонд, вклады товарищей)</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тыс. рублей</w:t>
            </w:r>
          </w:p>
        </w:tc>
        <w:tc>
          <w:tcPr>
            <w:tcW w:w="2900" w:type="dxa"/>
            <w:gridSpan w:val="3"/>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58 919</w:t>
            </w:r>
          </w:p>
        </w:tc>
        <w:tc>
          <w:tcPr>
            <w:tcW w:w="2900" w:type="dxa"/>
            <w:gridSpan w:val="4"/>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58 919</w:t>
            </w:r>
          </w:p>
        </w:tc>
        <w:tc>
          <w:tcPr>
            <w:tcW w:w="2540" w:type="dxa"/>
            <w:gridSpan w:val="3"/>
            <w:tcBorders>
              <w:top w:val="nil"/>
              <w:left w:val="nil"/>
              <w:bottom w:val="single" w:sz="4" w:space="0" w:color="auto"/>
              <w:right w:val="single" w:sz="4" w:space="0" w:color="auto"/>
            </w:tcBorders>
            <w:shd w:val="clear" w:color="auto" w:fill="auto"/>
            <w:noWrap/>
            <w:vAlign w:val="center"/>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58 919</w:t>
            </w:r>
          </w:p>
        </w:tc>
      </w:tr>
      <w:tr w:rsidR="005507BD" w:rsidRPr="005507BD" w:rsidTr="005507BD">
        <w:trPr>
          <w:trHeight w:val="1365"/>
        </w:trPr>
        <w:tc>
          <w:tcPr>
            <w:tcW w:w="756" w:type="dxa"/>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3260" w:type="dxa"/>
            <w:gridSpan w:val="2"/>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sz w:val="24"/>
                <w:szCs w:val="24"/>
              </w:rPr>
            </w:pPr>
            <w:r w:rsidRPr="005507BD">
              <w:rPr>
                <w:rFonts w:eastAsia="Times New Roman"/>
                <w:sz w:val="24"/>
                <w:szCs w:val="24"/>
              </w:rPr>
              <w:t>Анализ финансовой устойчивости по величине излишка (недостатка) собственных оборотных средств</w:t>
            </w:r>
          </w:p>
        </w:tc>
        <w:tc>
          <w:tcPr>
            <w:tcW w:w="1300"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тыс. рублей</w:t>
            </w:r>
          </w:p>
        </w:tc>
        <w:tc>
          <w:tcPr>
            <w:tcW w:w="290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900" w:type="dxa"/>
            <w:gridSpan w:val="4"/>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c>
          <w:tcPr>
            <w:tcW w:w="2540" w:type="dxa"/>
            <w:gridSpan w:val="3"/>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sz w:val="24"/>
                <w:szCs w:val="24"/>
              </w:rPr>
            </w:pPr>
            <w:r w:rsidRPr="005507BD">
              <w:rPr>
                <w:rFonts w:eastAsia="Times New Roman"/>
                <w:sz w:val="24"/>
                <w:szCs w:val="24"/>
              </w:rPr>
              <w:t> </w:t>
            </w:r>
          </w:p>
        </w:tc>
      </w:tr>
      <w:tr w:rsidR="005507BD" w:rsidRPr="005507BD" w:rsidTr="005507BD">
        <w:trPr>
          <w:trHeight w:val="390"/>
        </w:trPr>
        <w:tc>
          <w:tcPr>
            <w:tcW w:w="8216" w:type="dxa"/>
            <w:gridSpan w:val="7"/>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color w:val="FFFFFF"/>
              </w:rPr>
            </w:pPr>
            <w:r w:rsidRPr="005507BD">
              <w:rPr>
                <w:rFonts w:eastAsia="Times New Roman"/>
                <w:color w:val="FFFFFF"/>
              </w:rPr>
              <w:t>_____</w:t>
            </w:r>
            <w:r w:rsidRPr="005507BD">
              <w:rPr>
                <w:rFonts w:eastAsia="Times New Roman"/>
                <w:vertAlign w:val="superscript"/>
              </w:rPr>
              <w:t>1</w:t>
            </w:r>
            <w:r w:rsidRPr="005507BD">
              <w:rPr>
                <w:rFonts w:eastAsia="Times New Roman"/>
                <w:color w:val="FFFFFF"/>
              </w:rPr>
              <w:t>_</w:t>
            </w:r>
            <w:r w:rsidRPr="005507BD">
              <w:rPr>
                <w:rFonts w:eastAsia="Times New Roman"/>
              </w:rPr>
              <w:t>Базовый период - год, предшествующий расчетному периоду регулирования.</w:t>
            </w:r>
          </w:p>
        </w:tc>
        <w:tc>
          <w:tcPr>
            <w:tcW w:w="2900" w:type="dxa"/>
            <w:gridSpan w:val="4"/>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rPr>
            </w:pPr>
          </w:p>
        </w:tc>
        <w:tc>
          <w:tcPr>
            <w:tcW w:w="2540" w:type="dxa"/>
            <w:gridSpan w:val="3"/>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rPr>
            </w:pPr>
          </w:p>
        </w:tc>
      </w:tr>
      <w:tr w:rsidR="005507BD" w:rsidRPr="005507BD" w:rsidTr="005507BD">
        <w:trPr>
          <w:trHeight w:val="315"/>
        </w:trPr>
        <w:tc>
          <w:tcPr>
            <w:tcW w:w="11116" w:type="dxa"/>
            <w:gridSpan w:val="11"/>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color w:val="FFFFFF"/>
              </w:rPr>
            </w:pPr>
            <w:r w:rsidRPr="005507BD">
              <w:rPr>
                <w:rFonts w:eastAsia="Times New Roman"/>
                <w:color w:val="FFFFFF"/>
              </w:rPr>
              <w:t>_____</w:t>
            </w:r>
            <w:r w:rsidRPr="005507BD">
              <w:rPr>
                <w:rFonts w:eastAsia="Times New Roman"/>
                <w:vertAlign w:val="superscript"/>
              </w:rPr>
              <w:t>2</w:t>
            </w:r>
            <w:proofErr w:type="gramStart"/>
            <w:r w:rsidRPr="005507BD">
              <w:rPr>
                <w:rFonts w:eastAsia="Times New Roman"/>
                <w:color w:val="FFFFFF"/>
              </w:rPr>
              <w:t>_</w:t>
            </w:r>
            <w:r w:rsidRPr="005507BD">
              <w:rPr>
                <w:rFonts w:eastAsia="Times New Roman"/>
              </w:rPr>
              <w:t>З</w:t>
            </w:r>
            <w:proofErr w:type="gramEnd"/>
            <w:r w:rsidRPr="005507BD">
              <w:rPr>
                <w:rFonts w:eastAsia="Times New Roman"/>
              </w:rPr>
              <w:t>аполняются организацией, осуществляющей оперативно-диспетчерское управление в электроэнергетике.</w:t>
            </w:r>
          </w:p>
        </w:tc>
        <w:tc>
          <w:tcPr>
            <w:tcW w:w="2540" w:type="dxa"/>
            <w:gridSpan w:val="3"/>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rPr>
            </w:pPr>
          </w:p>
        </w:tc>
      </w:tr>
      <w:tr w:rsidR="005507BD" w:rsidRPr="005507BD" w:rsidTr="005507BD">
        <w:trPr>
          <w:trHeight w:val="315"/>
        </w:trPr>
        <w:tc>
          <w:tcPr>
            <w:tcW w:w="13656" w:type="dxa"/>
            <w:gridSpan w:val="14"/>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color w:val="FFFFFF"/>
              </w:rPr>
            </w:pPr>
            <w:r w:rsidRPr="005507BD">
              <w:rPr>
                <w:rFonts w:eastAsia="Times New Roman"/>
                <w:color w:val="FFFFFF"/>
              </w:rPr>
              <w:t>_____</w:t>
            </w:r>
            <w:r w:rsidRPr="005507BD">
              <w:rPr>
                <w:rFonts w:eastAsia="Times New Roman"/>
                <w:vertAlign w:val="superscript"/>
              </w:rPr>
              <w:t>3</w:t>
            </w:r>
            <w:proofErr w:type="gramStart"/>
            <w:r w:rsidRPr="005507BD">
              <w:rPr>
                <w:rFonts w:eastAsia="Times New Roman"/>
                <w:color w:val="FFFFFF"/>
              </w:rPr>
              <w:t>_</w:t>
            </w:r>
            <w:r w:rsidRPr="005507BD">
              <w:rPr>
                <w:rFonts w:eastAsia="Times New Roman"/>
              </w:rPr>
              <w:t>З</w:t>
            </w:r>
            <w:proofErr w:type="gramEnd"/>
            <w:r w:rsidRPr="005507BD">
              <w:rPr>
                <w:rFonts w:eastAsia="Times New Roman"/>
              </w:rPr>
              <w:t>аполняются сетевыми организациями, осуществляющими передачу электрической энергии (мощности) по электрическим сетям.</w:t>
            </w:r>
          </w:p>
        </w:tc>
      </w:tr>
      <w:tr w:rsidR="005507BD" w:rsidRPr="005507BD" w:rsidTr="005507BD">
        <w:trPr>
          <w:trHeight w:val="315"/>
        </w:trPr>
        <w:tc>
          <w:tcPr>
            <w:tcW w:w="11116" w:type="dxa"/>
            <w:gridSpan w:val="11"/>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color w:val="FFFFFF"/>
              </w:rPr>
            </w:pPr>
            <w:r w:rsidRPr="005507BD">
              <w:rPr>
                <w:rFonts w:eastAsia="Times New Roman"/>
                <w:color w:val="FFFFFF"/>
              </w:rPr>
              <w:t>_____</w:t>
            </w:r>
            <w:r w:rsidRPr="005507BD">
              <w:rPr>
                <w:rFonts w:eastAsia="Times New Roman"/>
                <w:vertAlign w:val="superscript"/>
              </w:rPr>
              <w:t>4</w:t>
            </w:r>
            <w:proofErr w:type="gramStart"/>
            <w:r w:rsidRPr="005507BD">
              <w:rPr>
                <w:rFonts w:eastAsia="Times New Roman"/>
                <w:color w:val="FFFFFF"/>
              </w:rPr>
              <w:t>_</w:t>
            </w:r>
            <w:r w:rsidRPr="005507BD">
              <w:rPr>
                <w:rFonts w:eastAsia="Times New Roman"/>
              </w:rPr>
              <w:t>З</w:t>
            </w:r>
            <w:proofErr w:type="gramEnd"/>
            <w:r w:rsidRPr="005507BD">
              <w:rPr>
                <w:rFonts w:eastAsia="Times New Roman"/>
              </w:rPr>
              <w:t>аполняются коммерческим оператором оптового рынка электрической энергии (мощности).</w:t>
            </w:r>
          </w:p>
        </w:tc>
        <w:tc>
          <w:tcPr>
            <w:tcW w:w="2540" w:type="dxa"/>
            <w:gridSpan w:val="3"/>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rPr>
            </w:pPr>
          </w:p>
        </w:tc>
      </w:tr>
      <w:tr w:rsidR="005507BD" w:rsidRPr="005507BD" w:rsidTr="005507BD">
        <w:trPr>
          <w:trHeight w:val="1080"/>
        </w:trPr>
        <w:tc>
          <w:tcPr>
            <w:tcW w:w="823"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bookmarkStart w:id="2" w:name="RANGE!A1:I46"/>
            <w:bookmarkEnd w:id="2"/>
          </w:p>
        </w:tc>
        <w:tc>
          <w:tcPr>
            <w:tcW w:w="4734" w:type="dxa"/>
            <w:gridSpan w:val="3"/>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785"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20"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20"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20"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3038" w:type="dxa"/>
            <w:gridSpan w:val="4"/>
            <w:tcBorders>
              <w:top w:val="nil"/>
              <w:left w:val="nil"/>
              <w:bottom w:val="nil"/>
              <w:right w:val="nil"/>
            </w:tcBorders>
            <w:shd w:val="clear" w:color="auto" w:fill="auto"/>
            <w:vAlign w:val="bottom"/>
            <w:hideMark/>
          </w:tcPr>
          <w:p w:rsidR="005507BD" w:rsidRPr="005507BD" w:rsidRDefault="005507BD" w:rsidP="005507BD">
            <w:pPr>
              <w:autoSpaceDE/>
              <w:autoSpaceDN/>
              <w:ind w:firstLineChars="300" w:firstLine="600"/>
              <w:rPr>
                <w:rFonts w:eastAsia="Times New Roman"/>
              </w:rPr>
            </w:pPr>
            <w:r w:rsidRPr="005507BD">
              <w:rPr>
                <w:rFonts w:eastAsia="Times New Roman"/>
              </w:rPr>
              <w:t>Приложение № 5</w:t>
            </w:r>
            <w:r w:rsidRPr="005507BD">
              <w:rPr>
                <w:rFonts w:eastAsia="Times New Roman"/>
              </w:rPr>
              <w:br/>
              <w:t>к предложению о размере цен (тарифов), долгосрочных параметров регулирования</w:t>
            </w:r>
          </w:p>
        </w:tc>
      </w:tr>
      <w:tr w:rsidR="005507BD" w:rsidRPr="005507BD" w:rsidTr="005507BD">
        <w:trPr>
          <w:trHeight w:val="315"/>
        </w:trPr>
        <w:tc>
          <w:tcPr>
            <w:tcW w:w="823"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4734" w:type="dxa"/>
            <w:gridSpan w:val="3"/>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785"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20"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20"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20"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12"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13"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13"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r>
      <w:tr w:rsidR="005507BD" w:rsidRPr="005507BD" w:rsidTr="005507BD">
        <w:trPr>
          <w:trHeight w:val="315"/>
        </w:trPr>
        <w:tc>
          <w:tcPr>
            <w:tcW w:w="823"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4734" w:type="dxa"/>
            <w:gridSpan w:val="3"/>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785"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20"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20"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20"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12"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13"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13"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r>
      <w:tr w:rsidR="005507BD" w:rsidRPr="005507BD" w:rsidTr="005507BD">
        <w:trPr>
          <w:trHeight w:val="315"/>
        </w:trPr>
        <w:tc>
          <w:tcPr>
            <w:tcW w:w="823"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4734" w:type="dxa"/>
            <w:gridSpan w:val="3"/>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785"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20"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20"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20"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12"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13"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13"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r>
      <w:tr w:rsidR="005507BD" w:rsidRPr="005507BD" w:rsidTr="005507BD">
        <w:trPr>
          <w:trHeight w:val="330"/>
        </w:trPr>
        <w:tc>
          <w:tcPr>
            <w:tcW w:w="13440" w:type="dxa"/>
            <w:gridSpan w:val="14"/>
            <w:tcBorders>
              <w:top w:val="nil"/>
              <w:left w:val="nil"/>
              <w:bottom w:val="nil"/>
              <w:right w:val="nil"/>
            </w:tcBorders>
            <w:shd w:val="clear" w:color="auto" w:fill="auto"/>
            <w:vAlign w:val="bottom"/>
            <w:hideMark/>
          </w:tcPr>
          <w:p w:rsidR="005507BD" w:rsidRPr="005507BD" w:rsidRDefault="005507BD" w:rsidP="005507BD">
            <w:pPr>
              <w:autoSpaceDE/>
              <w:autoSpaceDN/>
              <w:jc w:val="center"/>
              <w:rPr>
                <w:rFonts w:eastAsia="Times New Roman"/>
                <w:sz w:val="26"/>
                <w:szCs w:val="26"/>
              </w:rPr>
            </w:pPr>
            <w:r w:rsidRPr="005507BD">
              <w:rPr>
                <w:rFonts w:eastAsia="Times New Roman"/>
                <w:sz w:val="26"/>
                <w:szCs w:val="26"/>
              </w:rPr>
              <w:t>Раздел 3. Цены (тарифы) по регулируемым видам деятельности организации</w:t>
            </w:r>
          </w:p>
        </w:tc>
      </w:tr>
      <w:tr w:rsidR="005507BD" w:rsidRPr="005507BD" w:rsidTr="005507BD">
        <w:trPr>
          <w:trHeight w:val="315"/>
        </w:trPr>
        <w:tc>
          <w:tcPr>
            <w:tcW w:w="823"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4734" w:type="dxa"/>
            <w:gridSpan w:val="3"/>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785"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20"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20"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20"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12"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13"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13"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r>
      <w:tr w:rsidR="005507BD" w:rsidRPr="005507BD" w:rsidTr="005507BD">
        <w:trPr>
          <w:trHeight w:val="315"/>
        </w:trPr>
        <w:tc>
          <w:tcPr>
            <w:tcW w:w="823"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4734" w:type="dxa"/>
            <w:gridSpan w:val="3"/>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785"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20"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20"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20"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12"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13"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c>
          <w:tcPr>
            <w:tcW w:w="1013"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sz w:val="24"/>
                <w:szCs w:val="24"/>
              </w:rPr>
            </w:pPr>
          </w:p>
        </w:tc>
      </w:tr>
      <w:tr w:rsidR="005507BD" w:rsidRPr="005507BD" w:rsidTr="005507BD">
        <w:trPr>
          <w:trHeight w:val="1215"/>
        </w:trPr>
        <w:tc>
          <w:tcPr>
            <w:tcW w:w="8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7BD" w:rsidRPr="005507BD" w:rsidRDefault="005507BD" w:rsidP="005507BD">
            <w:pPr>
              <w:autoSpaceDE/>
              <w:autoSpaceDN/>
              <w:jc w:val="center"/>
              <w:rPr>
                <w:rFonts w:eastAsia="Times New Roman"/>
                <w:color w:val="000000"/>
                <w:sz w:val="22"/>
                <w:szCs w:val="22"/>
              </w:rPr>
            </w:pPr>
            <w:bookmarkStart w:id="3" w:name="RANGE!A8:F45"/>
            <w:r w:rsidRPr="005507BD">
              <w:rPr>
                <w:rFonts w:eastAsia="Times New Roman"/>
                <w:color w:val="000000"/>
                <w:sz w:val="22"/>
                <w:szCs w:val="22"/>
              </w:rPr>
              <w:t xml:space="preserve">№ </w:t>
            </w:r>
            <w:r w:rsidRPr="005507BD">
              <w:rPr>
                <w:rFonts w:eastAsia="Times New Roman"/>
                <w:color w:val="000000"/>
                <w:sz w:val="22"/>
                <w:szCs w:val="22"/>
              </w:rPr>
              <w:br/>
            </w:r>
            <w:proofErr w:type="spellStart"/>
            <w:proofErr w:type="gramStart"/>
            <w:r w:rsidRPr="005507BD">
              <w:rPr>
                <w:rFonts w:eastAsia="Times New Roman"/>
                <w:color w:val="000000"/>
                <w:sz w:val="22"/>
                <w:szCs w:val="22"/>
              </w:rPr>
              <w:t>п</w:t>
            </w:r>
            <w:proofErr w:type="spellEnd"/>
            <w:proofErr w:type="gramEnd"/>
            <w:r w:rsidRPr="005507BD">
              <w:rPr>
                <w:rFonts w:eastAsia="Times New Roman"/>
                <w:color w:val="000000"/>
                <w:sz w:val="22"/>
                <w:szCs w:val="22"/>
              </w:rPr>
              <w:t>/</w:t>
            </w:r>
            <w:proofErr w:type="spellStart"/>
            <w:r w:rsidRPr="005507BD">
              <w:rPr>
                <w:rFonts w:eastAsia="Times New Roman"/>
                <w:color w:val="000000"/>
                <w:sz w:val="22"/>
                <w:szCs w:val="22"/>
              </w:rPr>
              <w:t>п</w:t>
            </w:r>
            <w:bookmarkEnd w:id="3"/>
            <w:proofErr w:type="spellEnd"/>
          </w:p>
        </w:tc>
        <w:tc>
          <w:tcPr>
            <w:tcW w:w="47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Наименование показателей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Единица изменения</w:t>
            </w:r>
          </w:p>
        </w:tc>
        <w:tc>
          <w:tcPr>
            <w:tcW w:w="2040" w:type="dxa"/>
            <w:gridSpan w:val="3"/>
            <w:tcBorders>
              <w:top w:val="single" w:sz="4" w:space="0" w:color="auto"/>
              <w:left w:val="nil"/>
              <w:bottom w:val="single" w:sz="4" w:space="0" w:color="auto"/>
              <w:right w:val="single" w:sz="4" w:space="0" w:color="auto"/>
            </w:tcBorders>
            <w:shd w:val="clear" w:color="auto" w:fill="auto"/>
            <w:vAlign w:val="center"/>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Фактические показатели за год, предшествующий базовому периоду</w:t>
            </w:r>
          </w:p>
        </w:tc>
        <w:tc>
          <w:tcPr>
            <w:tcW w:w="2032" w:type="dxa"/>
            <w:gridSpan w:val="3"/>
            <w:tcBorders>
              <w:top w:val="single" w:sz="4" w:space="0" w:color="auto"/>
              <w:left w:val="nil"/>
              <w:bottom w:val="single" w:sz="4" w:space="0" w:color="auto"/>
              <w:right w:val="single" w:sz="4" w:space="0" w:color="auto"/>
            </w:tcBorders>
            <w:shd w:val="clear" w:color="auto" w:fill="auto"/>
            <w:vAlign w:val="center"/>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Показатели, утвержденные на базовый период *</w:t>
            </w:r>
          </w:p>
        </w:tc>
        <w:tc>
          <w:tcPr>
            <w:tcW w:w="2026" w:type="dxa"/>
            <w:gridSpan w:val="2"/>
            <w:tcBorders>
              <w:top w:val="single" w:sz="4" w:space="0" w:color="auto"/>
              <w:left w:val="nil"/>
              <w:bottom w:val="single" w:sz="4" w:space="0" w:color="auto"/>
              <w:right w:val="single" w:sz="4" w:space="0" w:color="auto"/>
            </w:tcBorders>
            <w:shd w:val="clear" w:color="auto" w:fill="auto"/>
            <w:vAlign w:val="center"/>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Предложения на расчетный период регулирования</w:t>
            </w:r>
          </w:p>
        </w:tc>
      </w:tr>
      <w:tr w:rsidR="005507BD" w:rsidRPr="005507BD" w:rsidTr="005507BD">
        <w:trPr>
          <w:trHeight w:val="600"/>
        </w:trPr>
        <w:tc>
          <w:tcPr>
            <w:tcW w:w="823" w:type="dxa"/>
            <w:gridSpan w:val="2"/>
            <w:vMerge/>
            <w:tcBorders>
              <w:top w:val="single" w:sz="4" w:space="0" w:color="auto"/>
              <w:left w:val="single" w:sz="4" w:space="0" w:color="auto"/>
              <w:bottom w:val="single" w:sz="4" w:space="0" w:color="auto"/>
              <w:right w:val="single" w:sz="4" w:space="0" w:color="auto"/>
            </w:tcBorders>
            <w:vAlign w:val="center"/>
            <w:hideMark/>
          </w:tcPr>
          <w:p w:rsidR="005507BD" w:rsidRPr="005507BD" w:rsidRDefault="005507BD" w:rsidP="005507BD">
            <w:pPr>
              <w:autoSpaceDE/>
              <w:autoSpaceDN/>
              <w:rPr>
                <w:rFonts w:eastAsia="Times New Roman"/>
                <w:color w:val="000000"/>
                <w:sz w:val="22"/>
                <w:szCs w:val="22"/>
              </w:rPr>
            </w:pPr>
          </w:p>
        </w:tc>
        <w:tc>
          <w:tcPr>
            <w:tcW w:w="4734" w:type="dxa"/>
            <w:gridSpan w:val="3"/>
            <w:vMerge/>
            <w:tcBorders>
              <w:top w:val="single" w:sz="4" w:space="0" w:color="auto"/>
              <w:left w:val="single" w:sz="4" w:space="0" w:color="auto"/>
              <w:bottom w:val="single" w:sz="4" w:space="0" w:color="auto"/>
              <w:right w:val="single" w:sz="4" w:space="0" w:color="auto"/>
            </w:tcBorders>
            <w:vAlign w:val="center"/>
            <w:hideMark/>
          </w:tcPr>
          <w:p w:rsidR="005507BD" w:rsidRPr="005507BD" w:rsidRDefault="005507BD" w:rsidP="005507BD">
            <w:pPr>
              <w:autoSpaceDE/>
              <w:autoSpaceDN/>
              <w:rPr>
                <w:rFonts w:eastAsia="Times New Roman"/>
                <w:color w:val="000000"/>
                <w:sz w:val="22"/>
                <w:szCs w:val="22"/>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5507BD" w:rsidRPr="005507BD" w:rsidRDefault="005507BD" w:rsidP="005507BD">
            <w:pPr>
              <w:autoSpaceDE/>
              <w:autoSpaceDN/>
              <w:rPr>
                <w:rFonts w:eastAsia="Times New Roman"/>
                <w:color w:val="000000"/>
                <w:sz w:val="22"/>
                <w:szCs w:val="22"/>
              </w:rPr>
            </w:pPr>
          </w:p>
        </w:tc>
        <w:tc>
          <w:tcPr>
            <w:tcW w:w="1020" w:type="dxa"/>
            <w:gridSpan w:val="2"/>
            <w:tcBorders>
              <w:top w:val="nil"/>
              <w:left w:val="nil"/>
              <w:bottom w:val="single" w:sz="4" w:space="0" w:color="auto"/>
              <w:right w:val="single" w:sz="4" w:space="0" w:color="auto"/>
            </w:tcBorders>
            <w:shd w:val="clear" w:color="auto" w:fill="auto"/>
            <w:vAlign w:val="center"/>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xml:space="preserve">1-е </w:t>
            </w:r>
            <w:proofErr w:type="spellStart"/>
            <w:proofErr w:type="gramStart"/>
            <w:r w:rsidRPr="005507BD">
              <w:rPr>
                <w:rFonts w:eastAsia="Times New Roman"/>
                <w:color w:val="000000"/>
                <w:sz w:val="22"/>
                <w:szCs w:val="22"/>
              </w:rPr>
              <w:t>полу-годие</w:t>
            </w:r>
            <w:proofErr w:type="spellEnd"/>
            <w:proofErr w:type="gramEnd"/>
          </w:p>
        </w:tc>
        <w:tc>
          <w:tcPr>
            <w:tcW w:w="1020" w:type="dxa"/>
            <w:tcBorders>
              <w:top w:val="nil"/>
              <w:left w:val="nil"/>
              <w:bottom w:val="single" w:sz="4" w:space="0" w:color="auto"/>
              <w:right w:val="single" w:sz="4" w:space="0" w:color="auto"/>
            </w:tcBorders>
            <w:shd w:val="clear" w:color="auto" w:fill="auto"/>
            <w:vAlign w:val="center"/>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xml:space="preserve">2-е </w:t>
            </w:r>
            <w:proofErr w:type="spellStart"/>
            <w:proofErr w:type="gramStart"/>
            <w:r w:rsidRPr="005507BD">
              <w:rPr>
                <w:rFonts w:eastAsia="Times New Roman"/>
                <w:color w:val="000000"/>
                <w:sz w:val="22"/>
                <w:szCs w:val="22"/>
              </w:rPr>
              <w:t>полу-годие</w:t>
            </w:r>
            <w:proofErr w:type="spellEnd"/>
            <w:proofErr w:type="gramEnd"/>
          </w:p>
        </w:tc>
        <w:tc>
          <w:tcPr>
            <w:tcW w:w="1020" w:type="dxa"/>
            <w:tcBorders>
              <w:top w:val="nil"/>
              <w:left w:val="nil"/>
              <w:bottom w:val="single" w:sz="4" w:space="0" w:color="auto"/>
              <w:right w:val="single" w:sz="4" w:space="0" w:color="auto"/>
            </w:tcBorders>
            <w:shd w:val="clear" w:color="auto" w:fill="auto"/>
            <w:vAlign w:val="center"/>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xml:space="preserve">1-е </w:t>
            </w:r>
            <w:proofErr w:type="spellStart"/>
            <w:proofErr w:type="gramStart"/>
            <w:r w:rsidRPr="005507BD">
              <w:rPr>
                <w:rFonts w:eastAsia="Times New Roman"/>
                <w:color w:val="000000"/>
                <w:sz w:val="22"/>
                <w:szCs w:val="22"/>
              </w:rPr>
              <w:t>полу-годие</w:t>
            </w:r>
            <w:proofErr w:type="spellEnd"/>
            <w:proofErr w:type="gramEnd"/>
          </w:p>
        </w:tc>
        <w:tc>
          <w:tcPr>
            <w:tcW w:w="1012" w:type="dxa"/>
            <w:gridSpan w:val="2"/>
            <w:tcBorders>
              <w:top w:val="nil"/>
              <w:left w:val="nil"/>
              <w:bottom w:val="single" w:sz="4" w:space="0" w:color="auto"/>
              <w:right w:val="single" w:sz="4" w:space="0" w:color="auto"/>
            </w:tcBorders>
            <w:shd w:val="clear" w:color="auto" w:fill="auto"/>
            <w:vAlign w:val="center"/>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xml:space="preserve">2-е </w:t>
            </w:r>
            <w:proofErr w:type="spellStart"/>
            <w:proofErr w:type="gramStart"/>
            <w:r w:rsidRPr="005507BD">
              <w:rPr>
                <w:rFonts w:eastAsia="Times New Roman"/>
                <w:color w:val="000000"/>
                <w:sz w:val="22"/>
                <w:szCs w:val="22"/>
              </w:rPr>
              <w:t>полу-годие</w:t>
            </w:r>
            <w:proofErr w:type="spellEnd"/>
            <w:proofErr w:type="gramEnd"/>
          </w:p>
        </w:tc>
        <w:tc>
          <w:tcPr>
            <w:tcW w:w="1013" w:type="dxa"/>
            <w:tcBorders>
              <w:top w:val="nil"/>
              <w:left w:val="nil"/>
              <w:bottom w:val="single" w:sz="4" w:space="0" w:color="auto"/>
              <w:right w:val="single" w:sz="4" w:space="0" w:color="auto"/>
            </w:tcBorders>
            <w:shd w:val="clear" w:color="auto" w:fill="auto"/>
            <w:vAlign w:val="center"/>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xml:space="preserve">1-е </w:t>
            </w:r>
            <w:proofErr w:type="spellStart"/>
            <w:proofErr w:type="gramStart"/>
            <w:r w:rsidRPr="005507BD">
              <w:rPr>
                <w:rFonts w:eastAsia="Times New Roman"/>
                <w:color w:val="000000"/>
                <w:sz w:val="22"/>
                <w:szCs w:val="22"/>
              </w:rPr>
              <w:t>полу-годие</w:t>
            </w:r>
            <w:proofErr w:type="spellEnd"/>
            <w:proofErr w:type="gramEnd"/>
          </w:p>
        </w:tc>
        <w:tc>
          <w:tcPr>
            <w:tcW w:w="1013" w:type="dxa"/>
            <w:tcBorders>
              <w:top w:val="nil"/>
              <w:left w:val="nil"/>
              <w:bottom w:val="single" w:sz="4" w:space="0" w:color="auto"/>
              <w:right w:val="single" w:sz="4" w:space="0" w:color="auto"/>
            </w:tcBorders>
            <w:shd w:val="clear" w:color="auto" w:fill="auto"/>
            <w:vAlign w:val="center"/>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xml:space="preserve">2-е </w:t>
            </w:r>
            <w:proofErr w:type="spellStart"/>
            <w:proofErr w:type="gramStart"/>
            <w:r w:rsidRPr="005507BD">
              <w:rPr>
                <w:rFonts w:eastAsia="Times New Roman"/>
                <w:color w:val="000000"/>
                <w:sz w:val="22"/>
                <w:szCs w:val="22"/>
              </w:rPr>
              <w:t>полу-годие</w:t>
            </w:r>
            <w:proofErr w:type="spellEnd"/>
            <w:proofErr w:type="gramEnd"/>
          </w:p>
        </w:tc>
      </w:tr>
      <w:tr w:rsidR="005507BD" w:rsidRPr="005507BD" w:rsidTr="005507BD">
        <w:trPr>
          <w:trHeight w:val="78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1.</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Для организаций, относящихся к субъектам естественных монополий</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78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1.1.</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на услуги по оперативно-диспетчерскому управлению в электроэнергетике</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3465"/>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lastRenderedPageBreak/>
              <w:t> </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 xml:space="preserve">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w:t>
            </w:r>
            <w:proofErr w:type="spellStart"/>
            <w:r w:rsidRPr="005507BD">
              <w:rPr>
                <w:rFonts w:eastAsia="Times New Roman"/>
                <w:color w:val="000000"/>
                <w:sz w:val="22"/>
                <w:szCs w:val="22"/>
              </w:rPr>
              <w:t>энергопринимающих</w:t>
            </w:r>
            <w:proofErr w:type="spellEnd"/>
            <w:r w:rsidRPr="005507BD">
              <w:rPr>
                <w:rFonts w:eastAsia="Times New Roman"/>
                <w:color w:val="000000"/>
                <w:sz w:val="22"/>
                <w:szCs w:val="22"/>
              </w:rPr>
              <w:t xml:space="preserve"> устройств потребителей электрической энергии, обеспечения функционирования технологической инфраструктуры оптового и розничных рынков, оказываемые открытым акционерным обществом "Системный оператор Единой энергетической системы"</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руб./МВт в мес.</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339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предельный максимальный уровень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открытым акционерным обществом "Системный оператор Единой энергетической системы"</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руб./МВт·</w:t>
            </w:r>
            <w:proofErr w:type="gramStart"/>
            <w:r w:rsidRPr="005507BD">
              <w:rPr>
                <w:rFonts w:eastAsia="Times New Roman"/>
                <w:color w:val="000000"/>
                <w:sz w:val="22"/>
                <w:szCs w:val="22"/>
              </w:rPr>
              <w:t>ч</w:t>
            </w:r>
            <w:proofErr w:type="gramEnd"/>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78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1.2.</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 xml:space="preserve">услуги по передаче электрической энергии (мощности) </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22"/>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proofErr w:type="spellStart"/>
            <w:r w:rsidRPr="005507BD">
              <w:rPr>
                <w:rFonts w:eastAsia="Times New Roman"/>
                <w:color w:val="000000"/>
                <w:sz w:val="22"/>
                <w:szCs w:val="22"/>
              </w:rPr>
              <w:t>двухставочный</w:t>
            </w:r>
            <w:proofErr w:type="spellEnd"/>
            <w:r w:rsidRPr="005507BD">
              <w:rPr>
                <w:rFonts w:eastAsia="Times New Roman"/>
                <w:color w:val="000000"/>
                <w:sz w:val="22"/>
                <w:szCs w:val="22"/>
              </w:rPr>
              <w:t xml:space="preserve"> тариф</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22"/>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ставка на содержание сетей</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руб./МВт в мес.</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370401,7</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370401,7</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396329,82</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396329,82</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424576,21</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424576,21</w:t>
            </w:r>
          </w:p>
        </w:tc>
      </w:tr>
      <w:tr w:rsidR="005507BD" w:rsidRPr="005507BD" w:rsidTr="005507BD">
        <w:trPr>
          <w:trHeight w:val="765"/>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ставка на оплату технологического расхода (потерь)</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руб./МВт·</w:t>
            </w:r>
            <w:proofErr w:type="gramStart"/>
            <w:r w:rsidRPr="005507BD">
              <w:rPr>
                <w:rFonts w:eastAsia="Times New Roman"/>
                <w:color w:val="000000"/>
                <w:sz w:val="22"/>
                <w:szCs w:val="22"/>
              </w:rPr>
              <w:t>ч</w:t>
            </w:r>
            <w:proofErr w:type="gramEnd"/>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28,11</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28,11</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30,36</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30,36</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32,52</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32,52</w:t>
            </w:r>
          </w:p>
        </w:tc>
      </w:tr>
      <w:tr w:rsidR="005507BD" w:rsidRPr="005507BD" w:rsidTr="005507BD">
        <w:trPr>
          <w:trHeight w:val="522"/>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lastRenderedPageBreak/>
              <w:t> </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proofErr w:type="spellStart"/>
            <w:r w:rsidRPr="005507BD">
              <w:rPr>
                <w:rFonts w:eastAsia="Times New Roman"/>
                <w:color w:val="000000"/>
                <w:sz w:val="22"/>
                <w:szCs w:val="22"/>
              </w:rPr>
              <w:t>одноставочный</w:t>
            </w:r>
            <w:proofErr w:type="spellEnd"/>
            <w:r w:rsidRPr="005507BD">
              <w:rPr>
                <w:rFonts w:eastAsia="Times New Roman"/>
                <w:color w:val="000000"/>
                <w:sz w:val="22"/>
                <w:szCs w:val="22"/>
              </w:rPr>
              <w:t xml:space="preserve"> тариф</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руб./МВт·</w:t>
            </w:r>
            <w:proofErr w:type="gramStart"/>
            <w:r w:rsidRPr="005507BD">
              <w:rPr>
                <w:rFonts w:eastAsia="Times New Roman"/>
                <w:color w:val="000000"/>
                <w:sz w:val="22"/>
                <w:szCs w:val="22"/>
              </w:rPr>
              <w:t>ч</w:t>
            </w:r>
            <w:proofErr w:type="gramEnd"/>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693,27</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693,27</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742,08</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742,08</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794,97</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794,97</w:t>
            </w:r>
          </w:p>
        </w:tc>
      </w:tr>
      <w:tr w:rsidR="005507BD" w:rsidRPr="005507BD" w:rsidTr="005507BD">
        <w:trPr>
          <w:trHeight w:val="81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2.</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На услуги коммерческого оператора оптового рынка электрической энергии (мощности)</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руб./МВт·</w:t>
            </w:r>
            <w:proofErr w:type="gramStart"/>
            <w:r w:rsidRPr="005507BD">
              <w:rPr>
                <w:rFonts w:eastAsia="Times New Roman"/>
                <w:color w:val="000000"/>
                <w:sz w:val="22"/>
                <w:szCs w:val="22"/>
              </w:rPr>
              <w:t>ч</w:t>
            </w:r>
            <w:proofErr w:type="gramEnd"/>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22"/>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3.</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Для гарантирующих поставщиков</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108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3.1.</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величина сбытовой надбавки для тарифной группы потребителей "население" и приравненных к нему категорий потребителей</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руб./МВт·</w:t>
            </w:r>
            <w:proofErr w:type="gramStart"/>
            <w:r w:rsidRPr="005507BD">
              <w:rPr>
                <w:rFonts w:eastAsia="Times New Roman"/>
                <w:color w:val="000000"/>
                <w:sz w:val="22"/>
                <w:szCs w:val="22"/>
              </w:rPr>
              <w:t>ч</w:t>
            </w:r>
            <w:proofErr w:type="gramEnd"/>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1335"/>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3.2.</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величина сбытовой надбавки для тарифной группы потребителей "сетевые организации, покупающие электрическую энергию для компенсации потерь электрической энергии"</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руб./МВт·</w:t>
            </w:r>
            <w:proofErr w:type="gramStart"/>
            <w:r w:rsidRPr="005507BD">
              <w:rPr>
                <w:rFonts w:eastAsia="Times New Roman"/>
                <w:color w:val="000000"/>
                <w:sz w:val="22"/>
                <w:szCs w:val="22"/>
              </w:rPr>
              <w:t>ч</w:t>
            </w:r>
            <w:proofErr w:type="gramEnd"/>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3.3.</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доходность продаж для прочих потребителей:</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процент</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менее 150 кВт</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процент</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от 150 кВт до 670 кВт</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процент</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от 670 кВт до 10 МВт</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процент</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не менее 10 МВт</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процент</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4.</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Для генерирующих объектов</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процент</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4.1.</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цена на электрическую энергию</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руб./тыс. кВт·</w:t>
            </w:r>
            <w:proofErr w:type="gramStart"/>
            <w:r w:rsidRPr="005507BD">
              <w:rPr>
                <w:rFonts w:eastAsia="Times New Roman"/>
                <w:color w:val="000000"/>
                <w:sz w:val="22"/>
                <w:szCs w:val="22"/>
              </w:rPr>
              <w:t>ч</w:t>
            </w:r>
            <w:proofErr w:type="gramEnd"/>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в том числе топливная составляющая</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руб./тыс. кВт·</w:t>
            </w:r>
            <w:proofErr w:type="gramStart"/>
            <w:r w:rsidRPr="005507BD">
              <w:rPr>
                <w:rFonts w:eastAsia="Times New Roman"/>
                <w:color w:val="000000"/>
                <w:sz w:val="22"/>
                <w:szCs w:val="22"/>
              </w:rPr>
              <w:t>ч</w:t>
            </w:r>
            <w:proofErr w:type="gramEnd"/>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4.2.</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цена на генерирующую мощность</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руб./МВт в мес.</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81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lastRenderedPageBreak/>
              <w:t>4.3.</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 xml:space="preserve">средний </w:t>
            </w:r>
            <w:proofErr w:type="spellStart"/>
            <w:r w:rsidRPr="005507BD">
              <w:rPr>
                <w:rFonts w:eastAsia="Times New Roman"/>
                <w:color w:val="000000"/>
                <w:sz w:val="22"/>
                <w:szCs w:val="22"/>
              </w:rPr>
              <w:t>одноставочный</w:t>
            </w:r>
            <w:proofErr w:type="spellEnd"/>
            <w:r w:rsidRPr="005507BD">
              <w:rPr>
                <w:rFonts w:eastAsia="Times New Roman"/>
                <w:color w:val="000000"/>
                <w:sz w:val="22"/>
                <w:szCs w:val="22"/>
              </w:rPr>
              <w:t xml:space="preserve"> тариф на тепловую энергию</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руб./Гкал</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4.3.1.</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proofErr w:type="spellStart"/>
            <w:r w:rsidRPr="005507BD">
              <w:rPr>
                <w:rFonts w:eastAsia="Times New Roman"/>
                <w:color w:val="000000"/>
                <w:sz w:val="22"/>
                <w:szCs w:val="22"/>
              </w:rPr>
              <w:t>одноставочный</w:t>
            </w:r>
            <w:proofErr w:type="spellEnd"/>
            <w:r w:rsidRPr="005507BD">
              <w:rPr>
                <w:rFonts w:eastAsia="Times New Roman"/>
                <w:color w:val="000000"/>
                <w:sz w:val="22"/>
                <w:szCs w:val="22"/>
              </w:rPr>
              <w:t xml:space="preserve"> тариф на горячее водоснабжение</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руб./Гкал</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4.3.2.</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тариф на отборный пар давлением:</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руб./Гкал</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1,2 - 2,5 кг/см</w:t>
            </w:r>
            <w:proofErr w:type="gramStart"/>
            <w:r w:rsidRPr="005507BD">
              <w:rPr>
                <w:rFonts w:eastAsia="Times New Roman"/>
                <w:color w:val="000000"/>
                <w:sz w:val="22"/>
                <w:szCs w:val="22"/>
                <w:vertAlign w:val="superscript"/>
              </w:rPr>
              <w:t>2</w:t>
            </w:r>
            <w:proofErr w:type="gramEnd"/>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руб./Гкал</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2,5 - 7,0 кг/см</w:t>
            </w:r>
            <w:proofErr w:type="gramStart"/>
            <w:r w:rsidRPr="005507BD">
              <w:rPr>
                <w:rFonts w:eastAsia="Times New Roman"/>
                <w:color w:val="000000"/>
                <w:sz w:val="22"/>
                <w:szCs w:val="22"/>
                <w:vertAlign w:val="superscript"/>
              </w:rPr>
              <w:t>2</w:t>
            </w:r>
            <w:proofErr w:type="gramEnd"/>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руб./Гкал</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7,0 - 13,0 кг/см</w:t>
            </w:r>
            <w:proofErr w:type="gramStart"/>
            <w:r w:rsidRPr="005507BD">
              <w:rPr>
                <w:rFonts w:eastAsia="Times New Roman"/>
                <w:color w:val="000000"/>
                <w:sz w:val="22"/>
                <w:szCs w:val="22"/>
                <w:vertAlign w:val="superscript"/>
              </w:rPr>
              <w:t>2</w:t>
            </w:r>
            <w:proofErr w:type="gramEnd"/>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руб./Гкал</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&gt; 13 кг/см</w:t>
            </w:r>
            <w:proofErr w:type="gramStart"/>
            <w:r w:rsidRPr="005507BD">
              <w:rPr>
                <w:rFonts w:eastAsia="Times New Roman"/>
                <w:color w:val="000000"/>
                <w:sz w:val="22"/>
                <w:szCs w:val="22"/>
                <w:vertAlign w:val="superscript"/>
              </w:rPr>
              <w:t>2</w:t>
            </w:r>
            <w:proofErr w:type="gramEnd"/>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руб./Гкал</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4.3.3.</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тариф на острый и редуцированный пар</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руб./Гкал</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4.4.</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proofErr w:type="spellStart"/>
            <w:r w:rsidRPr="005507BD">
              <w:rPr>
                <w:rFonts w:eastAsia="Times New Roman"/>
                <w:color w:val="000000"/>
                <w:sz w:val="22"/>
                <w:szCs w:val="22"/>
              </w:rPr>
              <w:t>двухставочный</w:t>
            </w:r>
            <w:proofErr w:type="spellEnd"/>
            <w:r w:rsidRPr="005507BD">
              <w:rPr>
                <w:rFonts w:eastAsia="Times New Roman"/>
                <w:color w:val="000000"/>
                <w:sz w:val="22"/>
                <w:szCs w:val="22"/>
              </w:rPr>
              <w:t xml:space="preserve"> тариф на тепловую энергию</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4.4.1.</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ставка на содержание тепловой мощности</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руб./Гкал/</w:t>
            </w:r>
            <w:proofErr w:type="gramStart"/>
            <w:r w:rsidRPr="005507BD">
              <w:rPr>
                <w:rFonts w:eastAsia="Times New Roman"/>
                <w:color w:val="000000"/>
                <w:sz w:val="22"/>
                <w:szCs w:val="22"/>
              </w:rPr>
              <w:t>ч</w:t>
            </w:r>
            <w:proofErr w:type="gramEnd"/>
            <w:r w:rsidRPr="005507BD">
              <w:rPr>
                <w:rFonts w:eastAsia="Times New Roman"/>
                <w:color w:val="000000"/>
                <w:sz w:val="22"/>
                <w:szCs w:val="22"/>
              </w:rPr>
              <w:t xml:space="preserve"> в месяц</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4.4.2.</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тариф на тепловую энергию</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руб./Гкал</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4.5.</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средний тариф на теплоноситель, в том числе:</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руб./куб. метра</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вода</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руб./куб. метра</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540"/>
        </w:trPr>
        <w:tc>
          <w:tcPr>
            <w:tcW w:w="823" w:type="dxa"/>
            <w:gridSpan w:val="2"/>
            <w:tcBorders>
              <w:top w:val="nil"/>
              <w:left w:val="single" w:sz="4" w:space="0" w:color="auto"/>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4734" w:type="dxa"/>
            <w:gridSpan w:val="3"/>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rPr>
                <w:rFonts w:eastAsia="Times New Roman"/>
                <w:color w:val="000000"/>
                <w:sz w:val="22"/>
                <w:szCs w:val="22"/>
              </w:rPr>
            </w:pPr>
            <w:r w:rsidRPr="005507BD">
              <w:rPr>
                <w:rFonts w:eastAsia="Times New Roman"/>
                <w:color w:val="000000"/>
                <w:sz w:val="22"/>
                <w:szCs w:val="22"/>
              </w:rPr>
              <w:t>пар</w:t>
            </w:r>
          </w:p>
        </w:tc>
        <w:tc>
          <w:tcPr>
            <w:tcW w:w="1785" w:type="dxa"/>
            <w:tcBorders>
              <w:top w:val="nil"/>
              <w:left w:val="nil"/>
              <w:bottom w:val="single" w:sz="4" w:space="0" w:color="auto"/>
              <w:right w:val="single" w:sz="4" w:space="0" w:color="auto"/>
            </w:tcBorders>
            <w:shd w:val="clear" w:color="auto" w:fill="auto"/>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руб./куб. метра</w:t>
            </w:r>
          </w:p>
        </w:tc>
        <w:tc>
          <w:tcPr>
            <w:tcW w:w="1020"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20"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2" w:type="dxa"/>
            <w:gridSpan w:val="2"/>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c>
          <w:tcPr>
            <w:tcW w:w="1013" w:type="dxa"/>
            <w:tcBorders>
              <w:top w:val="nil"/>
              <w:left w:val="nil"/>
              <w:bottom w:val="single" w:sz="4" w:space="0" w:color="auto"/>
              <w:right w:val="single" w:sz="4" w:space="0" w:color="auto"/>
            </w:tcBorders>
            <w:shd w:val="clear" w:color="auto" w:fill="auto"/>
            <w:noWrap/>
            <w:hideMark/>
          </w:tcPr>
          <w:p w:rsidR="005507BD" w:rsidRPr="005507BD" w:rsidRDefault="005507BD" w:rsidP="005507BD">
            <w:pPr>
              <w:autoSpaceDE/>
              <w:autoSpaceDN/>
              <w:jc w:val="center"/>
              <w:rPr>
                <w:rFonts w:eastAsia="Times New Roman"/>
                <w:color w:val="000000"/>
                <w:sz w:val="22"/>
                <w:szCs w:val="22"/>
              </w:rPr>
            </w:pPr>
            <w:r w:rsidRPr="005507BD">
              <w:rPr>
                <w:rFonts w:eastAsia="Times New Roman"/>
                <w:color w:val="000000"/>
                <w:sz w:val="22"/>
                <w:szCs w:val="22"/>
              </w:rPr>
              <w:t> </w:t>
            </w:r>
          </w:p>
        </w:tc>
      </w:tr>
      <w:tr w:rsidR="005507BD" w:rsidRPr="005507BD" w:rsidTr="005507BD">
        <w:trPr>
          <w:trHeight w:val="345"/>
        </w:trPr>
        <w:tc>
          <w:tcPr>
            <w:tcW w:w="7342" w:type="dxa"/>
            <w:gridSpan w:val="6"/>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color w:val="FFFFFF"/>
              </w:rPr>
            </w:pPr>
            <w:r w:rsidRPr="005507BD">
              <w:rPr>
                <w:rFonts w:eastAsia="Times New Roman"/>
                <w:color w:val="FFFFFF"/>
              </w:rPr>
              <w:t>_____</w:t>
            </w:r>
            <w:r w:rsidRPr="005507BD">
              <w:rPr>
                <w:rFonts w:eastAsia="Times New Roman"/>
              </w:rPr>
              <w:t>*</w:t>
            </w:r>
            <w:proofErr w:type="spellStart"/>
            <w:r w:rsidRPr="005507BD">
              <w:rPr>
                <w:rFonts w:eastAsia="Times New Roman"/>
                <w:color w:val="FFFFFF"/>
              </w:rPr>
              <w:t>_</w:t>
            </w:r>
            <w:r w:rsidRPr="005507BD">
              <w:rPr>
                <w:rFonts w:eastAsia="Times New Roman"/>
              </w:rPr>
              <w:t>Базовый</w:t>
            </w:r>
            <w:proofErr w:type="spellEnd"/>
            <w:r w:rsidRPr="005507BD">
              <w:rPr>
                <w:rFonts w:eastAsia="Times New Roman"/>
              </w:rPr>
              <w:t xml:space="preserve"> период - год, предшествующий расчетному периоду регулирования.</w:t>
            </w:r>
          </w:p>
        </w:tc>
        <w:tc>
          <w:tcPr>
            <w:tcW w:w="1020"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rPr>
            </w:pPr>
          </w:p>
        </w:tc>
        <w:tc>
          <w:tcPr>
            <w:tcW w:w="1020"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rPr>
            </w:pPr>
          </w:p>
        </w:tc>
        <w:tc>
          <w:tcPr>
            <w:tcW w:w="1020"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rPr>
            </w:pPr>
          </w:p>
        </w:tc>
        <w:tc>
          <w:tcPr>
            <w:tcW w:w="1012" w:type="dxa"/>
            <w:gridSpan w:val="2"/>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rPr>
            </w:pPr>
          </w:p>
        </w:tc>
        <w:tc>
          <w:tcPr>
            <w:tcW w:w="1013"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rPr>
            </w:pPr>
          </w:p>
        </w:tc>
        <w:tc>
          <w:tcPr>
            <w:tcW w:w="1013" w:type="dxa"/>
            <w:tcBorders>
              <w:top w:val="nil"/>
              <w:left w:val="nil"/>
              <w:bottom w:val="nil"/>
              <w:right w:val="nil"/>
            </w:tcBorders>
            <w:shd w:val="clear" w:color="auto" w:fill="auto"/>
            <w:noWrap/>
            <w:vAlign w:val="bottom"/>
            <w:hideMark/>
          </w:tcPr>
          <w:p w:rsidR="005507BD" w:rsidRPr="005507BD" w:rsidRDefault="005507BD" w:rsidP="005507BD">
            <w:pPr>
              <w:autoSpaceDE/>
              <w:autoSpaceDN/>
              <w:rPr>
                <w:rFonts w:eastAsia="Times New Roman"/>
              </w:rPr>
            </w:pPr>
          </w:p>
        </w:tc>
      </w:tr>
    </w:tbl>
    <w:p w:rsidR="00704C0A" w:rsidRDefault="00704C0A">
      <w:pPr>
        <w:rPr>
          <w:sz w:val="24"/>
          <w:szCs w:val="24"/>
        </w:rPr>
      </w:pPr>
    </w:p>
    <w:sectPr w:rsidR="00704C0A" w:rsidSect="005507BD">
      <w:pgSz w:w="16840" w:h="11907" w:orient="landscape" w:code="9"/>
      <w:pgMar w:top="1134" w:right="567" w:bottom="1134" w:left="851"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E68" w:rsidRDefault="00456E68">
      <w:r>
        <w:separator/>
      </w:r>
    </w:p>
  </w:endnote>
  <w:endnote w:type="continuationSeparator" w:id="0">
    <w:p w:rsidR="00456E68" w:rsidRDefault="00456E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E68" w:rsidRDefault="00456E68">
      <w:r>
        <w:separator/>
      </w:r>
    </w:p>
  </w:footnote>
  <w:footnote w:type="continuationSeparator" w:id="0">
    <w:p w:rsidR="00456E68" w:rsidRDefault="00456E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648" w:rsidRDefault="00704C0A">
    <w:pPr>
      <w:pStyle w:val="a3"/>
      <w:jc w:val="right"/>
      <w:rPr>
        <w:b/>
        <w:bCs/>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3C8D6BC"/>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951402"/>
    <w:multiLevelType w:val="multilevel"/>
    <w:tmpl w:val="9500BA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C74F5B"/>
    <w:multiLevelType w:val="multilevel"/>
    <w:tmpl w:val="37D2CD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4A09F4"/>
    <w:multiLevelType w:val="multilevel"/>
    <w:tmpl w:val="5AD4F3CA"/>
    <w:lvl w:ilvl="0">
      <w:start w:val="1"/>
      <w:numFmt w:val="decimal"/>
      <w:lvlText w:val="%1."/>
      <w:lvlJc w:val="left"/>
      <w:pPr>
        <w:ind w:left="11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775617"/>
    <w:multiLevelType w:val="multilevel"/>
    <w:tmpl w:val="CA74670C"/>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6D6528"/>
    <w:multiLevelType w:val="multilevel"/>
    <w:tmpl w:val="E86ADD2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15B32538"/>
    <w:multiLevelType w:val="multilevel"/>
    <w:tmpl w:val="01709E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800619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1B5D790C"/>
    <w:multiLevelType w:val="multilevel"/>
    <w:tmpl w:val="07BAD16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107474A"/>
    <w:multiLevelType w:val="multilevel"/>
    <w:tmpl w:val="6E7C26B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nsid w:val="265B2708"/>
    <w:multiLevelType w:val="multilevel"/>
    <w:tmpl w:val="A746AC3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8C84B04"/>
    <w:multiLevelType w:val="multilevel"/>
    <w:tmpl w:val="BCACBA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94C105A"/>
    <w:multiLevelType w:val="multilevel"/>
    <w:tmpl w:val="22C2E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E2A4335"/>
    <w:multiLevelType w:val="multilevel"/>
    <w:tmpl w:val="B0D09B5A"/>
    <w:lvl w:ilvl="0">
      <w:start w:val="1"/>
      <w:numFmt w:val="decimal"/>
      <w:lvlText w:val="%1)"/>
      <w:lvlJc w:val="left"/>
      <w:pPr>
        <w:tabs>
          <w:tab w:val="num" w:pos="870"/>
        </w:tabs>
        <w:ind w:left="87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69C43D2"/>
    <w:multiLevelType w:val="multilevel"/>
    <w:tmpl w:val="F5AC8C8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7B30C78"/>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37D367BA"/>
    <w:multiLevelType w:val="multilevel"/>
    <w:tmpl w:val="404E4E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70663E"/>
    <w:multiLevelType w:val="multilevel"/>
    <w:tmpl w:val="40683E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12C7791"/>
    <w:multiLevelType w:val="multilevel"/>
    <w:tmpl w:val="726E61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320697D"/>
    <w:multiLevelType w:val="multilevel"/>
    <w:tmpl w:val="5DCCBA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3A6782E"/>
    <w:multiLevelType w:val="multilevel"/>
    <w:tmpl w:val="BC383D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4A3673C"/>
    <w:multiLevelType w:val="multilevel"/>
    <w:tmpl w:val="5BE024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8162BA3"/>
    <w:multiLevelType w:val="multilevel"/>
    <w:tmpl w:val="6A940AE4"/>
    <w:lvl w:ilvl="0">
      <w:start w:val="1"/>
      <w:numFmt w:val="decimal"/>
      <w:lvlText w:val="%1."/>
      <w:lvlJc w:val="left"/>
      <w:pPr>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8856694"/>
    <w:multiLevelType w:val="multilevel"/>
    <w:tmpl w:val="EFEE2F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9020FEC"/>
    <w:multiLevelType w:val="multilevel"/>
    <w:tmpl w:val="0AFA82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99D5138"/>
    <w:multiLevelType w:val="multilevel"/>
    <w:tmpl w:val="517A0C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2733CCE"/>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53DA1FFD"/>
    <w:multiLevelType w:val="multilevel"/>
    <w:tmpl w:val="3DE280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54255155"/>
    <w:multiLevelType w:val="multilevel"/>
    <w:tmpl w:val="D9A06E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4F1576C"/>
    <w:multiLevelType w:val="multilevel"/>
    <w:tmpl w:val="466281E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88F400D"/>
    <w:multiLevelType w:val="multilevel"/>
    <w:tmpl w:val="0AFCC7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AD574FB"/>
    <w:multiLevelType w:val="multilevel"/>
    <w:tmpl w:val="72A820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5D026562"/>
    <w:multiLevelType w:val="multilevel"/>
    <w:tmpl w:val="784A09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315B4B"/>
    <w:multiLevelType w:val="multilevel"/>
    <w:tmpl w:val="382C6E7E"/>
    <w:lvl w:ilvl="0">
      <w:start w:val="1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5FDE23E7"/>
    <w:multiLevelType w:val="multilevel"/>
    <w:tmpl w:val="0E74FB2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27145BA"/>
    <w:multiLevelType w:val="multilevel"/>
    <w:tmpl w:val="875678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527568D"/>
    <w:multiLevelType w:val="multilevel"/>
    <w:tmpl w:val="373EB8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B7D76D1"/>
    <w:multiLevelType w:val="multilevel"/>
    <w:tmpl w:val="26D2D0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BFF528D"/>
    <w:multiLevelType w:val="multilevel"/>
    <w:tmpl w:val="7EA62A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F5C62E8"/>
    <w:multiLevelType w:val="multilevel"/>
    <w:tmpl w:val="3620F6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60F7ED1"/>
    <w:multiLevelType w:val="multilevel"/>
    <w:tmpl w:val="C9D45E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C5D5521"/>
    <w:multiLevelType w:val="multilevel"/>
    <w:tmpl w:val="41F0F0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1"/>
  </w:num>
  <w:num w:numId="3">
    <w:abstractNumId w:val="19"/>
  </w:num>
  <w:num w:numId="4">
    <w:abstractNumId w:val="20"/>
  </w:num>
  <w:num w:numId="5">
    <w:abstractNumId w:val="38"/>
  </w:num>
  <w:num w:numId="6">
    <w:abstractNumId w:val="39"/>
  </w:num>
  <w:num w:numId="7">
    <w:abstractNumId w:val="32"/>
  </w:num>
  <w:num w:numId="8">
    <w:abstractNumId w:val="21"/>
  </w:num>
  <w:num w:numId="9">
    <w:abstractNumId w:val="18"/>
  </w:num>
  <w:num w:numId="10">
    <w:abstractNumId w:val="37"/>
  </w:num>
  <w:num w:numId="11">
    <w:abstractNumId w:val="16"/>
  </w:num>
  <w:num w:numId="12">
    <w:abstractNumId w:val="30"/>
  </w:num>
  <w:num w:numId="13">
    <w:abstractNumId w:val="28"/>
  </w:num>
  <w:num w:numId="14">
    <w:abstractNumId w:val="23"/>
  </w:num>
  <w:num w:numId="15">
    <w:abstractNumId w:val="41"/>
  </w:num>
  <w:num w:numId="16">
    <w:abstractNumId w:val="36"/>
  </w:num>
  <w:num w:numId="17">
    <w:abstractNumId w:val="1"/>
  </w:num>
  <w:num w:numId="18">
    <w:abstractNumId w:val="12"/>
  </w:num>
  <w:num w:numId="19">
    <w:abstractNumId w:val="35"/>
  </w:num>
  <w:num w:numId="20">
    <w:abstractNumId w:val="25"/>
  </w:num>
  <w:num w:numId="21">
    <w:abstractNumId w:val="26"/>
  </w:num>
  <w:num w:numId="22">
    <w:abstractNumId w:val="29"/>
  </w:num>
  <w:num w:numId="23">
    <w:abstractNumId w:val="24"/>
  </w:num>
  <w:num w:numId="24">
    <w:abstractNumId w:val="8"/>
  </w:num>
  <w:num w:numId="25">
    <w:abstractNumId w:val="34"/>
  </w:num>
  <w:num w:numId="26">
    <w:abstractNumId w:val="0"/>
  </w:num>
  <w:num w:numId="27">
    <w:abstractNumId w:val="5"/>
  </w:num>
  <w:num w:numId="28">
    <w:abstractNumId w:val="9"/>
  </w:num>
  <w:num w:numId="29">
    <w:abstractNumId w:val="40"/>
  </w:num>
  <w:num w:numId="30">
    <w:abstractNumId w:val="15"/>
  </w:num>
  <w:num w:numId="31">
    <w:abstractNumId w:val="7"/>
  </w:num>
  <w:num w:numId="32">
    <w:abstractNumId w:val="6"/>
  </w:num>
  <w:num w:numId="33">
    <w:abstractNumId w:val="27"/>
  </w:num>
  <w:num w:numId="34">
    <w:abstractNumId w:val="10"/>
  </w:num>
  <w:num w:numId="35">
    <w:abstractNumId w:val="14"/>
  </w:num>
  <w:num w:numId="36">
    <w:abstractNumId w:val="31"/>
  </w:num>
  <w:num w:numId="37">
    <w:abstractNumId w:val="17"/>
  </w:num>
  <w:num w:numId="38">
    <w:abstractNumId w:val="22"/>
  </w:num>
  <w:num w:numId="39">
    <w:abstractNumId w:val="2"/>
  </w:num>
  <w:num w:numId="40">
    <w:abstractNumId w:val="13"/>
  </w:num>
  <w:num w:numId="41">
    <w:abstractNumId w:val="33"/>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37E"/>
    <w:rsid w:val="00067EC7"/>
    <w:rsid w:val="00185433"/>
    <w:rsid w:val="001A1648"/>
    <w:rsid w:val="00456E68"/>
    <w:rsid w:val="005507BD"/>
    <w:rsid w:val="00704C0A"/>
    <w:rsid w:val="00881303"/>
    <w:rsid w:val="00A71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648"/>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1648"/>
    <w:pPr>
      <w:tabs>
        <w:tab w:val="center" w:pos="4153"/>
        <w:tab w:val="right" w:pos="8306"/>
      </w:tabs>
    </w:pPr>
  </w:style>
  <w:style w:type="character" w:customStyle="1" w:styleId="a4">
    <w:name w:val="Верхний колонтитул Знак"/>
    <w:basedOn w:val="a0"/>
    <w:link w:val="a3"/>
    <w:uiPriority w:val="99"/>
    <w:semiHidden/>
    <w:rsid w:val="001A1648"/>
    <w:rPr>
      <w:rFonts w:ascii="Times New Roman" w:hAnsi="Times New Roman" w:cs="Times New Roman"/>
      <w:sz w:val="20"/>
      <w:szCs w:val="20"/>
    </w:rPr>
  </w:style>
  <w:style w:type="paragraph" w:styleId="a5">
    <w:name w:val="footer"/>
    <w:basedOn w:val="a"/>
    <w:link w:val="a6"/>
    <w:uiPriority w:val="99"/>
    <w:rsid w:val="001A1648"/>
    <w:pPr>
      <w:tabs>
        <w:tab w:val="center" w:pos="4153"/>
        <w:tab w:val="right" w:pos="8306"/>
      </w:tabs>
    </w:pPr>
  </w:style>
  <w:style w:type="character" w:customStyle="1" w:styleId="a6">
    <w:name w:val="Нижний колонтитул Знак"/>
    <w:basedOn w:val="a0"/>
    <w:link w:val="a5"/>
    <w:uiPriority w:val="99"/>
    <w:semiHidden/>
    <w:rsid w:val="001A1648"/>
    <w:rPr>
      <w:rFonts w:ascii="Times New Roman" w:hAnsi="Times New Roman" w:cs="Times New Roman"/>
      <w:sz w:val="20"/>
      <w:szCs w:val="20"/>
    </w:rPr>
  </w:style>
  <w:style w:type="character" w:customStyle="1" w:styleId="1-1pt">
    <w:name w:val="Заголовок №1 + Интервал -1 pt"/>
    <w:basedOn w:val="a0"/>
    <w:uiPriority w:val="99"/>
    <w:rsid w:val="001A1648"/>
    <w:rPr>
      <w:spacing w:val="-20"/>
      <w:sz w:val="21"/>
      <w:szCs w:val="21"/>
    </w:rPr>
  </w:style>
  <w:style w:type="character" w:customStyle="1" w:styleId="11">
    <w:name w:val="Основной текст (11)"/>
    <w:basedOn w:val="a0"/>
    <w:uiPriority w:val="99"/>
    <w:rsid w:val="001A1648"/>
    <w:rPr>
      <w:sz w:val="14"/>
      <w:szCs w:val="14"/>
    </w:rPr>
  </w:style>
  <w:style w:type="paragraph" w:customStyle="1" w:styleId="2">
    <w:name w:val="Основной текст (2)"/>
    <w:basedOn w:val="a"/>
    <w:uiPriority w:val="99"/>
    <w:rsid w:val="001A1648"/>
    <w:pPr>
      <w:shd w:val="clear" w:color="auto" w:fill="FFFFFF"/>
      <w:spacing w:after="360" w:line="254" w:lineRule="exact"/>
      <w:jc w:val="center"/>
    </w:pPr>
    <w:rPr>
      <w:b/>
      <w:bCs/>
      <w:noProof/>
      <w:sz w:val="22"/>
      <w:szCs w:val="22"/>
      <w:lang w:val="en-US"/>
    </w:rPr>
  </w:style>
  <w:style w:type="paragraph" w:customStyle="1" w:styleId="3">
    <w:name w:val="Основной текст (3)"/>
    <w:basedOn w:val="a"/>
    <w:uiPriority w:val="99"/>
    <w:rsid w:val="001A1648"/>
    <w:pPr>
      <w:shd w:val="clear" w:color="auto" w:fill="FFFFFF"/>
      <w:spacing w:before="360" w:after="2520" w:line="240" w:lineRule="atLeast"/>
      <w:jc w:val="center"/>
    </w:pPr>
    <w:rPr>
      <w:b/>
      <w:bCs/>
      <w:noProof/>
      <w:sz w:val="18"/>
      <w:szCs w:val="18"/>
      <w:lang w:val="en-US"/>
    </w:rPr>
  </w:style>
  <w:style w:type="paragraph" w:customStyle="1" w:styleId="111">
    <w:name w:val="Основной текст (11)1"/>
    <w:basedOn w:val="a"/>
    <w:uiPriority w:val="99"/>
    <w:rsid w:val="001A1648"/>
    <w:pPr>
      <w:shd w:val="clear" w:color="auto" w:fill="FFFFFF"/>
      <w:spacing w:after="420" w:line="187" w:lineRule="exact"/>
      <w:ind w:hanging="1720"/>
      <w:jc w:val="right"/>
    </w:pPr>
    <w:rPr>
      <w:noProof/>
      <w:sz w:val="14"/>
      <w:szCs w:val="14"/>
      <w:lang w:val="en-US"/>
    </w:rPr>
  </w:style>
  <w:style w:type="paragraph" w:customStyle="1" w:styleId="1">
    <w:name w:val="Заголовок №1"/>
    <w:basedOn w:val="a"/>
    <w:uiPriority w:val="99"/>
    <w:rsid w:val="001A1648"/>
    <w:pPr>
      <w:shd w:val="clear" w:color="auto" w:fill="FFFFFF"/>
      <w:spacing w:before="60" w:after="240" w:line="240" w:lineRule="atLeast"/>
      <w:outlineLvl w:val="0"/>
    </w:pPr>
    <w:rPr>
      <w:noProof/>
      <w:spacing w:val="10"/>
      <w:sz w:val="21"/>
      <w:szCs w:val="21"/>
      <w:lang w:val="en-US"/>
    </w:rPr>
  </w:style>
  <w:style w:type="paragraph" w:customStyle="1" w:styleId="ConsNormal">
    <w:name w:val="ConsNormal"/>
    <w:uiPriority w:val="99"/>
    <w:rsid w:val="001A1648"/>
    <w:pPr>
      <w:autoSpaceDE w:val="0"/>
      <w:autoSpaceDN w:val="0"/>
      <w:spacing w:after="0" w:line="240" w:lineRule="auto"/>
      <w:ind w:right="19772" w:firstLine="540"/>
      <w:jc w:val="both"/>
    </w:pPr>
    <w:rPr>
      <w:rFonts w:ascii="Courier New" w:hAnsi="Courier New" w:cs="Courier New"/>
      <w:sz w:val="20"/>
      <w:szCs w:val="20"/>
    </w:rPr>
  </w:style>
  <w:style w:type="paragraph" w:customStyle="1" w:styleId="ConsNonformat">
    <w:name w:val="ConsNonformat"/>
    <w:uiPriority w:val="99"/>
    <w:rsid w:val="001A1648"/>
    <w:pPr>
      <w:autoSpaceDE w:val="0"/>
      <w:autoSpaceDN w:val="0"/>
      <w:spacing w:after="0" w:line="240" w:lineRule="auto"/>
      <w:jc w:val="both"/>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7803431">
      <w:bodyDiv w:val="1"/>
      <w:marLeft w:val="0"/>
      <w:marRight w:val="0"/>
      <w:marTop w:val="0"/>
      <w:marBottom w:val="0"/>
      <w:divBdr>
        <w:top w:val="none" w:sz="0" w:space="0" w:color="auto"/>
        <w:left w:val="none" w:sz="0" w:space="0" w:color="auto"/>
        <w:bottom w:val="none" w:sz="0" w:space="0" w:color="auto"/>
        <w:right w:val="none" w:sz="0" w:space="0" w:color="auto"/>
      </w:divBdr>
    </w:div>
    <w:div w:id="1296373655">
      <w:bodyDiv w:val="1"/>
      <w:marLeft w:val="0"/>
      <w:marRight w:val="0"/>
      <w:marTop w:val="0"/>
      <w:marBottom w:val="0"/>
      <w:divBdr>
        <w:top w:val="none" w:sz="0" w:space="0" w:color="auto"/>
        <w:left w:val="none" w:sz="0" w:space="0" w:color="auto"/>
        <w:bottom w:val="none" w:sz="0" w:space="0" w:color="auto"/>
        <w:right w:val="none" w:sz="0" w:space="0" w:color="auto"/>
      </w:divBdr>
    </w:div>
    <w:div w:id="209558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1342</Words>
  <Characters>7655</Characters>
  <Application>Microsoft Office Word</Application>
  <DocSecurity>0</DocSecurity>
  <Lines>63</Lines>
  <Paragraphs>17</Paragraphs>
  <ScaleCrop>false</ScaleCrop>
  <Company>КонсультантПлюс</Company>
  <LinksUpToDate>false</LinksUpToDate>
  <CharactersWithSpaces>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EmborakAM</cp:lastModifiedBy>
  <cp:revision>4</cp:revision>
  <cp:lastPrinted>2014-08-15T06:59:00Z</cp:lastPrinted>
  <dcterms:created xsi:type="dcterms:W3CDTF">2016-04-25T04:56:00Z</dcterms:created>
  <dcterms:modified xsi:type="dcterms:W3CDTF">2016-04-28T08:13:00Z</dcterms:modified>
</cp:coreProperties>
</file>